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F59D3">
      <w:pPr>
        <w:autoSpaceDE w:val="0"/>
        <w:autoSpaceDN w:val="0"/>
        <w:adjustRightInd w:val="0"/>
        <w:snapToGrid w:val="0"/>
        <w:spacing w:line="360" w:lineRule="auto"/>
        <w:jc w:val="center"/>
        <w:rPr>
          <w:rFonts w:hint="eastAsia" w:ascii="宋体" w:hAnsi="宋体" w:eastAsia="宋体"/>
          <w:b/>
          <w:color w:val="000000" w:themeColor="text1"/>
          <w:kern w:val="0"/>
          <w:sz w:val="28"/>
          <w:szCs w:val="28"/>
          <w:highlight w:val="none"/>
          <w:u w:val="single"/>
          <w:lang w:eastAsia="zh-CN"/>
          <w14:textFill>
            <w14:solidFill>
              <w14:schemeClr w14:val="tx1"/>
            </w14:solidFill>
          </w14:textFill>
        </w:rPr>
      </w:pPr>
      <w:bookmarkStart w:id="0" w:name="_Toc224103315"/>
      <w:bookmarkStart w:id="33" w:name="_GoBack"/>
      <w:bookmarkEnd w:id="33"/>
      <w:r>
        <w:rPr>
          <w:rFonts w:hint="eastAsia" w:ascii="宋体" w:hAnsi="宋体"/>
          <w:b/>
          <w:color w:val="000000" w:themeColor="text1"/>
          <w:kern w:val="0"/>
          <w:sz w:val="28"/>
          <w:szCs w:val="28"/>
          <w:highlight w:val="none"/>
          <w14:textFill>
            <w14:solidFill>
              <w14:schemeClr w14:val="tx1"/>
            </w14:solidFill>
          </w14:textFill>
        </w:rPr>
        <w:t>项目名称：</w:t>
      </w:r>
      <w:r>
        <w:rPr>
          <w:rFonts w:hint="eastAsia" w:ascii="宋体" w:hAnsi="宋体"/>
          <w:b/>
          <w:color w:val="000000" w:themeColor="text1"/>
          <w:kern w:val="0"/>
          <w:sz w:val="28"/>
          <w:szCs w:val="28"/>
          <w:highlight w:val="none"/>
          <w:u w:val="single"/>
          <w:lang w:eastAsia="zh-CN"/>
          <w14:textFill>
            <w14:solidFill>
              <w14:schemeClr w14:val="tx1"/>
            </w14:solidFill>
          </w14:textFill>
        </w:rPr>
        <w:t>重庆国际物流枢纽园区建设有限责任公司2026年度第二期中期票据</w:t>
      </w:r>
    </w:p>
    <w:p w14:paraId="411040B8">
      <w:pPr>
        <w:autoSpaceDE w:val="0"/>
        <w:autoSpaceDN w:val="0"/>
        <w:adjustRightInd w:val="0"/>
        <w:snapToGrid w:val="0"/>
        <w:spacing w:line="360" w:lineRule="auto"/>
        <w:jc w:val="center"/>
        <w:rPr>
          <w:rFonts w:hint="eastAsia" w:ascii="宋体" w:hAnsi="宋体" w:cs="MingLiU"/>
          <w:b/>
          <w:color w:val="000000" w:themeColor="text1"/>
          <w:kern w:val="0"/>
          <w:sz w:val="20"/>
          <w:szCs w:val="20"/>
          <w:highlight w:val="none"/>
          <w:u w:val="single"/>
          <w14:textFill>
            <w14:solidFill>
              <w14:schemeClr w14:val="tx1"/>
            </w14:solidFill>
          </w14:textFill>
        </w:rPr>
      </w:pPr>
      <w:r>
        <w:rPr>
          <w:rFonts w:hint="eastAsia" w:ascii="宋体" w:hAnsi="宋体"/>
          <w:b/>
          <w:color w:val="000000" w:themeColor="text1"/>
          <w:kern w:val="0"/>
          <w:sz w:val="28"/>
          <w:szCs w:val="28"/>
          <w:highlight w:val="none"/>
          <w:u w:val="single"/>
          <w14:textFill>
            <w14:solidFill>
              <w14:schemeClr w14:val="tx1"/>
            </w14:solidFill>
          </w14:textFill>
        </w:rPr>
        <w:t>承销商选聘</w:t>
      </w:r>
    </w:p>
    <w:p w14:paraId="3F3C3EBC">
      <w:pPr>
        <w:autoSpaceDE w:val="0"/>
        <w:autoSpaceDN w:val="0"/>
        <w:adjustRightInd w:val="0"/>
        <w:snapToGrid w:val="0"/>
        <w:spacing w:line="360" w:lineRule="auto"/>
        <w:jc w:val="left"/>
        <w:rPr>
          <w:rFonts w:hint="eastAsia" w:ascii="宋体" w:hAnsi="宋体" w:cs="MingLiU"/>
          <w:b/>
          <w:color w:val="000000" w:themeColor="text1"/>
          <w:kern w:val="0"/>
          <w:sz w:val="20"/>
          <w:szCs w:val="20"/>
          <w:highlight w:val="none"/>
          <w14:textFill>
            <w14:solidFill>
              <w14:schemeClr w14:val="tx1"/>
            </w14:solidFill>
          </w14:textFill>
        </w:rPr>
      </w:pPr>
    </w:p>
    <w:p w14:paraId="0A634D2A">
      <w:pPr>
        <w:autoSpaceDE w:val="0"/>
        <w:autoSpaceDN w:val="0"/>
        <w:adjustRightInd w:val="0"/>
        <w:snapToGrid w:val="0"/>
        <w:spacing w:line="360" w:lineRule="auto"/>
        <w:jc w:val="left"/>
        <w:rPr>
          <w:rFonts w:hint="eastAsia" w:ascii="宋体" w:hAnsi="宋体" w:cs="MingLiU"/>
          <w:b/>
          <w:color w:val="000000" w:themeColor="text1"/>
          <w:kern w:val="0"/>
          <w:sz w:val="20"/>
          <w:szCs w:val="20"/>
          <w:highlight w:val="none"/>
          <w14:textFill>
            <w14:solidFill>
              <w14:schemeClr w14:val="tx1"/>
            </w14:solidFill>
          </w14:textFill>
        </w:rPr>
      </w:pPr>
    </w:p>
    <w:p w14:paraId="7CF6719B">
      <w:pPr>
        <w:autoSpaceDE w:val="0"/>
        <w:autoSpaceDN w:val="0"/>
        <w:adjustRightInd w:val="0"/>
        <w:snapToGrid w:val="0"/>
        <w:spacing w:line="360" w:lineRule="auto"/>
        <w:jc w:val="left"/>
        <w:rPr>
          <w:rFonts w:hint="eastAsia" w:ascii="宋体" w:hAnsi="宋体" w:cs="MingLiU"/>
          <w:b/>
          <w:color w:val="000000" w:themeColor="text1"/>
          <w:kern w:val="0"/>
          <w:sz w:val="20"/>
          <w:szCs w:val="20"/>
          <w:highlight w:val="none"/>
          <w14:textFill>
            <w14:solidFill>
              <w14:schemeClr w14:val="tx1"/>
            </w14:solidFill>
          </w14:textFill>
        </w:rPr>
      </w:pPr>
    </w:p>
    <w:p w14:paraId="717DB539">
      <w:pPr>
        <w:autoSpaceDE w:val="0"/>
        <w:autoSpaceDN w:val="0"/>
        <w:adjustRightInd w:val="0"/>
        <w:snapToGrid w:val="0"/>
        <w:spacing w:line="360" w:lineRule="auto"/>
        <w:jc w:val="left"/>
        <w:rPr>
          <w:rFonts w:hint="eastAsia" w:ascii="宋体" w:hAnsi="宋体" w:cs="MingLiU"/>
          <w:b/>
          <w:color w:val="000000" w:themeColor="text1"/>
          <w:kern w:val="0"/>
          <w:sz w:val="20"/>
          <w:szCs w:val="20"/>
          <w:highlight w:val="none"/>
          <w14:textFill>
            <w14:solidFill>
              <w14:schemeClr w14:val="tx1"/>
            </w14:solidFill>
          </w14:textFill>
        </w:rPr>
      </w:pPr>
    </w:p>
    <w:p w14:paraId="0DCB89F6">
      <w:pPr>
        <w:autoSpaceDE w:val="0"/>
        <w:autoSpaceDN w:val="0"/>
        <w:adjustRightInd w:val="0"/>
        <w:snapToGrid w:val="0"/>
        <w:spacing w:line="360" w:lineRule="auto"/>
        <w:jc w:val="left"/>
        <w:rPr>
          <w:rFonts w:hint="eastAsia" w:ascii="宋体" w:hAnsi="宋体" w:cs="MingLiU"/>
          <w:b/>
          <w:color w:val="000000" w:themeColor="text1"/>
          <w:kern w:val="0"/>
          <w:sz w:val="20"/>
          <w:szCs w:val="20"/>
          <w:highlight w:val="none"/>
          <w14:textFill>
            <w14:solidFill>
              <w14:schemeClr w14:val="tx1"/>
            </w14:solidFill>
          </w14:textFill>
        </w:rPr>
      </w:pPr>
    </w:p>
    <w:p w14:paraId="53667714">
      <w:pPr>
        <w:autoSpaceDE w:val="0"/>
        <w:autoSpaceDN w:val="0"/>
        <w:adjustRightInd w:val="0"/>
        <w:snapToGrid w:val="0"/>
        <w:spacing w:line="360" w:lineRule="auto"/>
        <w:jc w:val="left"/>
        <w:rPr>
          <w:rFonts w:hint="eastAsia" w:ascii="宋体" w:hAnsi="宋体" w:cs="MingLiU"/>
          <w:b/>
          <w:color w:val="000000" w:themeColor="text1"/>
          <w:kern w:val="0"/>
          <w:sz w:val="20"/>
          <w:szCs w:val="20"/>
          <w:highlight w:val="none"/>
          <w14:textFill>
            <w14:solidFill>
              <w14:schemeClr w14:val="tx1"/>
            </w14:solidFill>
          </w14:textFill>
        </w:rPr>
      </w:pPr>
    </w:p>
    <w:p w14:paraId="0C35D15B">
      <w:pPr>
        <w:autoSpaceDE w:val="0"/>
        <w:autoSpaceDN w:val="0"/>
        <w:adjustRightInd w:val="0"/>
        <w:snapToGrid w:val="0"/>
        <w:spacing w:line="360" w:lineRule="auto"/>
        <w:jc w:val="center"/>
        <w:rPr>
          <w:rFonts w:hint="eastAsia" w:ascii="宋体" w:hAnsi="宋体" w:cs="MingLiU"/>
          <w:b/>
          <w:color w:val="000000" w:themeColor="text1"/>
          <w:kern w:val="0"/>
          <w:sz w:val="84"/>
          <w:szCs w:val="44"/>
          <w:highlight w:val="none"/>
          <w14:textFill>
            <w14:solidFill>
              <w14:schemeClr w14:val="tx1"/>
            </w14:solidFill>
          </w14:textFill>
        </w:rPr>
      </w:pPr>
      <w:r>
        <w:rPr>
          <w:rFonts w:hint="eastAsia" w:ascii="宋体" w:hAnsi="宋体" w:cs="MingLiU"/>
          <w:b/>
          <w:color w:val="000000" w:themeColor="text1"/>
          <w:kern w:val="0"/>
          <w:sz w:val="84"/>
          <w:szCs w:val="44"/>
          <w:highlight w:val="none"/>
          <w14:textFill>
            <w14:solidFill>
              <w14:schemeClr w14:val="tx1"/>
            </w14:solidFill>
          </w14:textFill>
        </w:rPr>
        <w:t>比  选　文　件</w:t>
      </w:r>
    </w:p>
    <w:p w14:paraId="548232AD">
      <w:pPr>
        <w:autoSpaceDE w:val="0"/>
        <w:autoSpaceDN w:val="0"/>
        <w:adjustRightInd w:val="0"/>
        <w:snapToGrid w:val="0"/>
        <w:spacing w:line="360" w:lineRule="auto"/>
        <w:jc w:val="left"/>
        <w:rPr>
          <w:rFonts w:hint="eastAsia" w:ascii="宋体" w:hAnsi="宋体" w:cs="MingLiU"/>
          <w:color w:val="000000" w:themeColor="text1"/>
          <w:kern w:val="0"/>
          <w:sz w:val="10"/>
          <w:szCs w:val="10"/>
          <w:highlight w:val="none"/>
          <w14:textFill>
            <w14:solidFill>
              <w14:schemeClr w14:val="tx1"/>
            </w14:solidFill>
          </w14:textFill>
        </w:rPr>
      </w:pPr>
    </w:p>
    <w:p w14:paraId="5DCABA06">
      <w:pPr>
        <w:autoSpaceDE w:val="0"/>
        <w:autoSpaceDN w:val="0"/>
        <w:adjustRightInd w:val="0"/>
        <w:snapToGrid w:val="0"/>
        <w:spacing w:line="360" w:lineRule="auto"/>
        <w:jc w:val="center"/>
        <w:rPr>
          <w:rFonts w:hint="eastAsia" w:ascii="宋体" w:hAnsi="宋体" w:cs="MingLiU"/>
          <w:b/>
          <w:color w:val="000000" w:themeColor="text1"/>
          <w:spacing w:val="8"/>
          <w:kern w:val="0"/>
          <w:sz w:val="28"/>
          <w:szCs w:val="28"/>
          <w:highlight w:val="none"/>
          <w14:textFill>
            <w14:solidFill>
              <w14:schemeClr w14:val="tx1"/>
            </w14:solidFill>
          </w14:textFill>
        </w:rPr>
      </w:pPr>
    </w:p>
    <w:p w14:paraId="1646AB1A">
      <w:pPr>
        <w:autoSpaceDE w:val="0"/>
        <w:autoSpaceDN w:val="0"/>
        <w:adjustRightInd w:val="0"/>
        <w:snapToGrid w:val="0"/>
        <w:spacing w:line="360" w:lineRule="auto"/>
        <w:jc w:val="left"/>
        <w:rPr>
          <w:rFonts w:hint="eastAsia" w:ascii="宋体" w:hAnsi="宋体" w:cs="MingLiU"/>
          <w:color w:val="000000" w:themeColor="text1"/>
          <w:kern w:val="0"/>
          <w:sz w:val="20"/>
          <w:szCs w:val="20"/>
          <w:highlight w:val="none"/>
          <w14:textFill>
            <w14:solidFill>
              <w14:schemeClr w14:val="tx1"/>
            </w14:solidFill>
          </w14:textFill>
        </w:rPr>
      </w:pPr>
    </w:p>
    <w:p w14:paraId="7063260F">
      <w:pPr>
        <w:autoSpaceDE w:val="0"/>
        <w:autoSpaceDN w:val="0"/>
        <w:adjustRightInd w:val="0"/>
        <w:snapToGrid w:val="0"/>
        <w:spacing w:line="360" w:lineRule="auto"/>
        <w:jc w:val="left"/>
        <w:rPr>
          <w:rFonts w:hint="eastAsia" w:ascii="宋体" w:hAnsi="宋体" w:cs="MingLiU"/>
          <w:color w:val="000000" w:themeColor="text1"/>
          <w:kern w:val="0"/>
          <w:sz w:val="20"/>
          <w:szCs w:val="20"/>
          <w:highlight w:val="none"/>
          <w14:textFill>
            <w14:solidFill>
              <w14:schemeClr w14:val="tx1"/>
            </w14:solidFill>
          </w14:textFill>
        </w:rPr>
      </w:pPr>
    </w:p>
    <w:p w14:paraId="0AA705C4">
      <w:pPr>
        <w:autoSpaceDE w:val="0"/>
        <w:autoSpaceDN w:val="0"/>
        <w:adjustRightInd w:val="0"/>
        <w:snapToGrid w:val="0"/>
        <w:spacing w:line="360" w:lineRule="auto"/>
        <w:jc w:val="left"/>
        <w:rPr>
          <w:rFonts w:hint="eastAsia" w:ascii="宋体" w:hAnsi="宋体" w:cs="MingLiU"/>
          <w:color w:val="000000" w:themeColor="text1"/>
          <w:kern w:val="0"/>
          <w:sz w:val="20"/>
          <w:szCs w:val="20"/>
          <w:highlight w:val="none"/>
          <w14:textFill>
            <w14:solidFill>
              <w14:schemeClr w14:val="tx1"/>
            </w14:solidFill>
          </w14:textFill>
        </w:rPr>
      </w:pPr>
    </w:p>
    <w:p w14:paraId="778FF7A4">
      <w:pPr>
        <w:autoSpaceDE w:val="0"/>
        <w:autoSpaceDN w:val="0"/>
        <w:adjustRightInd w:val="0"/>
        <w:snapToGrid w:val="0"/>
        <w:spacing w:line="360" w:lineRule="auto"/>
        <w:jc w:val="left"/>
        <w:rPr>
          <w:rFonts w:hint="eastAsia" w:ascii="宋体" w:hAnsi="宋体" w:cs="MingLiU"/>
          <w:color w:val="000000" w:themeColor="text1"/>
          <w:kern w:val="0"/>
          <w:sz w:val="20"/>
          <w:szCs w:val="20"/>
          <w:highlight w:val="none"/>
          <w14:textFill>
            <w14:solidFill>
              <w14:schemeClr w14:val="tx1"/>
            </w14:solidFill>
          </w14:textFill>
        </w:rPr>
      </w:pPr>
    </w:p>
    <w:p w14:paraId="1209D383">
      <w:pPr>
        <w:autoSpaceDE w:val="0"/>
        <w:autoSpaceDN w:val="0"/>
        <w:adjustRightInd w:val="0"/>
        <w:snapToGrid w:val="0"/>
        <w:spacing w:line="360" w:lineRule="auto"/>
        <w:jc w:val="left"/>
        <w:rPr>
          <w:rFonts w:hint="eastAsia" w:ascii="宋体" w:hAnsi="宋体" w:cs="MingLiU"/>
          <w:color w:val="000000" w:themeColor="text1"/>
          <w:kern w:val="0"/>
          <w:sz w:val="20"/>
          <w:szCs w:val="20"/>
          <w:highlight w:val="none"/>
          <w14:textFill>
            <w14:solidFill>
              <w14:schemeClr w14:val="tx1"/>
            </w14:solidFill>
          </w14:textFill>
        </w:rPr>
      </w:pPr>
    </w:p>
    <w:p w14:paraId="33DAE2DC">
      <w:pPr>
        <w:tabs>
          <w:tab w:val="left" w:pos="6252"/>
        </w:tabs>
        <w:autoSpaceDE w:val="0"/>
        <w:autoSpaceDN w:val="0"/>
        <w:adjustRightInd w:val="0"/>
        <w:snapToGrid w:val="0"/>
        <w:spacing w:line="360" w:lineRule="auto"/>
        <w:ind w:left="-540" w:leftChars="-257" w:right="-535" w:rightChars="-255"/>
        <w:jc w:val="left"/>
        <w:rPr>
          <w:rFonts w:hint="eastAsia" w:ascii="宋体" w:hAnsi="宋体" w:cs="MingLiU"/>
          <w:b/>
          <w:color w:val="000000" w:themeColor="text1"/>
          <w:w w:val="99"/>
          <w:kern w:val="0"/>
          <w:sz w:val="28"/>
          <w:szCs w:val="28"/>
          <w:highlight w:val="none"/>
          <w14:textFill>
            <w14:solidFill>
              <w14:schemeClr w14:val="tx1"/>
            </w14:solidFill>
          </w14:textFill>
        </w:rPr>
      </w:pPr>
    </w:p>
    <w:p w14:paraId="71D23190">
      <w:pPr>
        <w:autoSpaceDE w:val="0"/>
        <w:autoSpaceDN w:val="0"/>
        <w:adjustRightInd w:val="0"/>
        <w:snapToGrid w:val="0"/>
        <w:spacing w:line="360" w:lineRule="auto"/>
        <w:jc w:val="left"/>
        <w:rPr>
          <w:rFonts w:hint="eastAsia" w:ascii="宋体" w:hAnsi="宋体" w:cs="MingLiU"/>
          <w:b/>
          <w:color w:val="000000" w:themeColor="text1"/>
          <w:kern w:val="0"/>
          <w:sz w:val="28"/>
          <w:szCs w:val="28"/>
          <w:highlight w:val="none"/>
          <w14:textFill>
            <w14:solidFill>
              <w14:schemeClr w14:val="tx1"/>
            </w14:solidFill>
          </w14:textFill>
        </w:rPr>
      </w:pPr>
    </w:p>
    <w:p w14:paraId="0ED87FE5">
      <w:pPr>
        <w:spacing w:line="360" w:lineRule="auto"/>
        <w:ind w:firstLine="582" w:firstLineChars="196"/>
        <w:rPr>
          <w:rFonts w:hint="eastAsia" w:ascii="宋体" w:hAnsi="宋体" w:cs="MingLiU"/>
          <w:b/>
          <w:color w:val="000000" w:themeColor="text1"/>
          <w:spacing w:val="8"/>
          <w:kern w:val="0"/>
          <w:sz w:val="28"/>
          <w:szCs w:val="28"/>
          <w:highlight w:val="none"/>
          <w14:textFill>
            <w14:solidFill>
              <w14:schemeClr w14:val="tx1"/>
            </w14:solidFill>
          </w14:textFill>
        </w:rPr>
      </w:pPr>
    </w:p>
    <w:p w14:paraId="33590BC8">
      <w:pPr>
        <w:tabs>
          <w:tab w:val="left" w:pos="3200"/>
          <w:tab w:val="left" w:pos="4320"/>
          <w:tab w:val="left" w:pos="5420"/>
        </w:tabs>
        <w:autoSpaceDE w:val="0"/>
        <w:autoSpaceDN w:val="0"/>
        <w:adjustRightInd w:val="0"/>
        <w:snapToGrid w:val="0"/>
        <w:spacing w:line="360" w:lineRule="auto"/>
        <w:jc w:val="center"/>
        <w:rPr>
          <w:rFonts w:hint="eastAsia" w:ascii="宋体" w:hAnsi="宋体" w:cs="MingLiU"/>
          <w:b/>
          <w:color w:val="000000" w:themeColor="text1"/>
          <w:kern w:val="0"/>
          <w:sz w:val="52"/>
          <w:szCs w:val="52"/>
          <w:highlight w:val="none"/>
          <w14:textFill>
            <w14:solidFill>
              <w14:schemeClr w14:val="tx1"/>
            </w14:solidFill>
          </w14:textFill>
        </w:rPr>
      </w:pPr>
    </w:p>
    <w:p w14:paraId="270A3A79">
      <w:pPr>
        <w:tabs>
          <w:tab w:val="left" w:pos="3200"/>
          <w:tab w:val="left" w:pos="4320"/>
          <w:tab w:val="left" w:pos="5420"/>
        </w:tabs>
        <w:autoSpaceDE w:val="0"/>
        <w:autoSpaceDN w:val="0"/>
        <w:adjustRightInd w:val="0"/>
        <w:snapToGrid w:val="0"/>
        <w:spacing w:line="360" w:lineRule="auto"/>
        <w:jc w:val="center"/>
        <w:rPr>
          <w:rFonts w:hint="eastAsia" w:ascii="宋体" w:hAnsi="宋体" w:cs="MingLiU"/>
          <w:b/>
          <w:color w:val="000000" w:themeColor="text1"/>
          <w:kern w:val="0"/>
          <w:sz w:val="52"/>
          <w:szCs w:val="52"/>
          <w:highlight w:val="none"/>
          <w14:textFill>
            <w14:solidFill>
              <w14:schemeClr w14:val="tx1"/>
            </w14:solidFill>
          </w14:textFill>
        </w:rPr>
      </w:pPr>
    </w:p>
    <w:p w14:paraId="0F81BD80">
      <w:pPr>
        <w:tabs>
          <w:tab w:val="left" w:pos="6219"/>
        </w:tabs>
        <w:autoSpaceDE w:val="0"/>
        <w:autoSpaceDN w:val="0"/>
        <w:adjustRightInd w:val="0"/>
        <w:snapToGrid w:val="0"/>
        <w:spacing w:line="360" w:lineRule="auto"/>
        <w:jc w:val="center"/>
        <w:rPr>
          <w:rFonts w:hint="eastAsia" w:ascii="宋体" w:hAnsi="宋体"/>
          <w:b/>
          <w:color w:val="000000" w:themeColor="text1"/>
          <w:w w:val="99"/>
          <w:kern w:val="0"/>
          <w:sz w:val="30"/>
          <w:szCs w:val="30"/>
          <w:highlight w:val="none"/>
          <w14:textFill>
            <w14:solidFill>
              <w14:schemeClr w14:val="tx1"/>
            </w14:solidFill>
          </w14:textFill>
        </w:rPr>
      </w:pPr>
      <w:r>
        <w:rPr>
          <w:rFonts w:ascii="宋体" w:hAnsi="宋体"/>
          <w:b/>
          <w:color w:val="000000" w:themeColor="text1"/>
          <w:w w:val="99"/>
          <w:kern w:val="0"/>
          <w:sz w:val="30"/>
          <w:szCs w:val="30"/>
          <w:highlight w:val="none"/>
          <w14:textFill>
            <w14:solidFill>
              <w14:schemeClr w14:val="tx1"/>
            </w14:solidFill>
          </w14:textFill>
        </w:rPr>
        <w:t>招　　标　 人：</w:t>
      </w:r>
      <w:r>
        <w:rPr>
          <w:rFonts w:hint="eastAsia" w:ascii="宋体" w:hAnsi="宋体"/>
          <w:b/>
          <w:color w:val="000000" w:themeColor="text1"/>
          <w:w w:val="99"/>
          <w:kern w:val="0"/>
          <w:sz w:val="30"/>
          <w:szCs w:val="30"/>
          <w:highlight w:val="none"/>
          <w:u w:val="single"/>
          <w14:textFill>
            <w14:solidFill>
              <w14:schemeClr w14:val="tx1"/>
            </w14:solidFill>
          </w14:textFill>
        </w:rPr>
        <w:t>重庆国际物流枢纽园区建设有限责任公司</w:t>
      </w:r>
    </w:p>
    <w:p w14:paraId="75065BC6">
      <w:pPr>
        <w:autoSpaceDE w:val="0"/>
        <w:autoSpaceDN w:val="0"/>
        <w:adjustRightInd w:val="0"/>
        <w:snapToGrid w:val="0"/>
        <w:spacing w:line="360" w:lineRule="auto"/>
        <w:jc w:val="center"/>
        <w:rPr>
          <w:rFonts w:hint="eastAsia" w:ascii="宋体" w:hAnsi="宋体"/>
          <w:b/>
          <w:color w:val="000000" w:themeColor="text1"/>
          <w:kern w:val="0"/>
          <w:sz w:val="32"/>
          <w:szCs w:val="32"/>
          <w:highlight w:val="none"/>
          <w14:textFill>
            <w14:solidFill>
              <w14:schemeClr w14:val="tx1"/>
            </w14:solidFill>
          </w14:textFill>
        </w:rPr>
      </w:pPr>
    </w:p>
    <w:p w14:paraId="00BFFBAD">
      <w:pPr>
        <w:autoSpaceDE w:val="0"/>
        <w:autoSpaceDN w:val="0"/>
        <w:adjustRightInd w:val="0"/>
        <w:snapToGrid w:val="0"/>
        <w:spacing w:line="360" w:lineRule="auto"/>
        <w:rPr>
          <w:rFonts w:hint="eastAsia" w:ascii="宋体" w:hAnsi="宋体"/>
          <w:b/>
          <w:color w:val="000000" w:themeColor="text1"/>
          <w:kern w:val="0"/>
          <w:sz w:val="32"/>
          <w:szCs w:val="32"/>
          <w:highlight w:val="none"/>
          <w14:textFill>
            <w14:solidFill>
              <w14:schemeClr w14:val="tx1"/>
            </w14:solidFill>
          </w14:textFill>
        </w:rPr>
      </w:pPr>
    </w:p>
    <w:p w14:paraId="375F18F6">
      <w:pPr>
        <w:ind w:firstLine="562"/>
        <w:jc w:val="center"/>
        <w:rPr>
          <w:rFonts w:hint="eastAsia" w:ascii="宋体" w:hAnsi="宋体"/>
          <w:color w:val="000000" w:themeColor="text1"/>
          <w:w w:val="99"/>
          <w:kern w:val="0"/>
          <w:sz w:val="32"/>
          <w:szCs w:val="32"/>
          <w:highlight w:val="none"/>
          <w14:textFill>
            <w14:solidFill>
              <w14:schemeClr w14:val="tx1"/>
            </w14:solidFill>
          </w14:textFill>
        </w:rPr>
        <w:sectPr>
          <w:headerReference r:id="rId3" w:type="default"/>
          <w:pgSz w:w="11907" w:h="16840"/>
          <w:pgMar w:top="1304" w:right="1134" w:bottom="1304" w:left="1304" w:header="851" w:footer="992" w:gutter="0"/>
          <w:pgNumType w:fmt="numberInDash" w:start="1"/>
          <w:cols w:space="720" w:num="1"/>
          <w:docGrid w:linePitch="312" w:charSpace="0"/>
        </w:sectPr>
      </w:pPr>
      <w:r>
        <w:rPr>
          <w:rFonts w:hint="eastAsia" w:ascii="宋体" w:hAnsi="宋体"/>
          <w:b/>
          <w:color w:val="000000" w:themeColor="text1"/>
          <w:sz w:val="32"/>
          <w:szCs w:val="32"/>
          <w:highlight w:val="none"/>
          <w14:textFill>
            <w14:solidFill>
              <w14:schemeClr w14:val="tx1"/>
            </w14:solidFill>
          </w14:textFill>
        </w:rPr>
        <w:t>2026</w:t>
      </w:r>
      <w:r>
        <w:rPr>
          <w:rFonts w:ascii="宋体" w:hAnsi="宋体"/>
          <w:b/>
          <w:color w:val="000000" w:themeColor="text1"/>
          <w:sz w:val="32"/>
          <w:szCs w:val="32"/>
          <w:highlight w:val="none"/>
          <w14:textFill>
            <w14:solidFill>
              <w14:schemeClr w14:val="tx1"/>
            </w14:solidFill>
          </w14:textFill>
        </w:rPr>
        <w:t>年</w:t>
      </w:r>
      <w:r>
        <w:rPr>
          <w:rFonts w:hint="eastAsia" w:ascii="宋体" w:hAnsi="宋体"/>
          <w:b/>
          <w:color w:val="000000" w:themeColor="text1"/>
          <w:sz w:val="32"/>
          <w:szCs w:val="32"/>
          <w:highlight w:val="none"/>
          <w:lang w:val="en-US" w:eastAsia="zh-CN"/>
          <w14:textFill>
            <w14:solidFill>
              <w14:schemeClr w14:val="tx1"/>
            </w14:solidFill>
          </w14:textFill>
        </w:rPr>
        <w:t>6</w:t>
      </w:r>
      <w:r>
        <w:rPr>
          <w:rFonts w:ascii="宋体" w:hAnsi="宋体"/>
          <w:b/>
          <w:color w:val="000000" w:themeColor="text1"/>
          <w:sz w:val="32"/>
          <w:szCs w:val="32"/>
          <w:highlight w:val="none"/>
          <w14:textFill>
            <w14:solidFill>
              <w14:schemeClr w14:val="tx1"/>
            </w14:solidFill>
          </w14:textFill>
        </w:rPr>
        <w:t>月</w:t>
      </w:r>
    </w:p>
    <w:p w14:paraId="3EAEBCA4">
      <w:pPr>
        <w:pStyle w:val="3"/>
        <w:jc w:val="center"/>
        <w:rPr>
          <w:rFonts w:hint="eastAsia" w:ascii="宋体" w:hAnsi="宋体" w:eastAsia="宋体"/>
          <w:color w:val="000000" w:themeColor="text1"/>
          <w:sz w:val="48"/>
          <w:szCs w:val="48"/>
          <w:highlight w:val="none"/>
          <w14:textFill>
            <w14:solidFill>
              <w14:schemeClr w14:val="tx1"/>
            </w14:solidFill>
          </w14:textFill>
        </w:rPr>
      </w:pPr>
      <w:bookmarkStart w:id="1" w:name="_Toc200359237"/>
      <w:bookmarkStart w:id="2" w:name="_Toc200359426"/>
      <w:bookmarkStart w:id="3" w:name="_Toc224103298"/>
      <w:bookmarkStart w:id="4" w:name="_Toc460241888"/>
      <w:r>
        <w:rPr>
          <w:rFonts w:hint="eastAsia" w:ascii="宋体" w:hAnsi="宋体" w:eastAsia="宋体"/>
          <w:color w:val="000000" w:themeColor="text1"/>
          <w:sz w:val="48"/>
          <w:szCs w:val="48"/>
          <w:highlight w:val="none"/>
          <w14:textFill>
            <w14:solidFill>
              <w14:schemeClr w14:val="tx1"/>
            </w14:solidFill>
          </w14:textFill>
        </w:rPr>
        <w:t xml:space="preserve">第一章  </w:t>
      </w:r>
      <w:bookmarkEnd w:id="1"/>
      <w:bookmarkEnd w:id="2"/>
      <w:bookmarkEnd w:id="3"/>
      <w:r>
        <w:rPr>
          <w:rFonts w:hint="eastAsia" w:ascii="宋体" w:hAnsi="宋体" w:eastAsia="宋体"/>
          <w:color w:val="000000" w:themeColor="text1"/>
          <w:sz w:val="48"/>
          <w:szCs w:val="48"/>
          <w:highlight w:val="none"/>
          <w14:textFill>
            <w14:solidFill>
              <w14:schemeClr w14:val="tx1"/>
            </w14:solidFill>
          </w14:textFill>
        </w:rPr>
        <w:t>比选公告</w:t>
      </w:r>
      <w:bookmarkEnd w:id="4"/>
    </w:p>
    <w:p w14:paraId="109EFE30">
      <w:pPr>
        <w:autoSpaceDE w:val="0"/>
        <w:autoSpaceDN w:val="0"/>
        <w:adjustRightInd w:val="0"/>
        <w:snapToGrid w:val="0"/>
        <w:spacing w:line="320" w:lineRule="exact"/>
        <w:jc w:val="center"/>
        <w:rPr>
          <w:rFonts w:hint="eastAsia" w:ascii="宋体" w:hAnsi="宋体"/>
          <w:b/>
          <w:snapToGrid w:val="0"/>
          <w:color w:val="000000" w:themeColor="text1"/>
          <w:kern w:val="0"/>
          <w:sz w:val="28"/>
          <w:szCs w:val="28"/>
          <w:highlight w:val="none"/>
          <w14:textFill>
            <w14:solidFill>
              <w14:schemeClr w14:val="tx1"/>
            </w14:solidFill>
          </w14:textFill>
        </w:rPr>
      </w:pPr>
      <w:r>
        <w:rPr>
          <w:rFonts w:hint="eastAsia" w:ascii="宋体" w:hAnsi="宋体"/>
          <w:b/>
          <w:snapToGrid w:val="0"/>
          <w:color w:val="000000" w:themeColor="text1"/>
          <w:kern w:val="0"/>
          <w:sz w:val="28"/>
          <w:szCs w:val="28"/>
          <w:highlight w:val="none"/>
          <w14:textFill>
            <w14:solidFill>
              <w14:schemeClr w14:val="tx1"/>
            </w14:solidFill>
          </w14:textFill>
        </w:rPr>
        <w:t xml:space="preserve">  </w:t>
      </w:r>
      <w:r>
        <w:rPr>
          <w:rFonts w:hint="eastAsia" w:ascii="宋体" w:hAnsi="宋体"/>
          <w:b/>
          <w:color w:val="000000" w:themeColor="text1"/>
          <w:kern w:val="0"/>
          <w:sz w:val="28"/>
          <w:szCs w:val="28"/>
          <w:highlight w:val="none"/>
          <w:u w:val="single"/>
          <w:lang w:eastAsia="zh-CN"/>
          <w14:textFill>
            <w14:solidFill>
              <w14:schemeClr w14:val="tx1"/>
            </w14:solidFill>
          </w14:textFill>
        </w:rPr>
        <w:t>重庆国际物流枢纽园区建设有限责任公司2026年度第二期中期票据</w:t>
      </w:r>
      <w:r>
        <w:rPr>
          <w:rFonts w:hint="eastAsia" w:ascii="宋体" w:hAnsi="宋体"/>
          <w:b/>
          <w:color w:val="000000" w:themeColor="text1"/>
          <w:kern w:val="0"/>
          <w:sz w:val="28"/>
          <w:szCs w:val="28"/>
          <w:highlight w:val="none"/>
          <w:u w:val="single"/>
          <w14:textFill>
            <w14:solidFill>
              <w14:schemeClr w14:val="tx1"/>
            </w14:solidFill>
          </w14:textFill>
        </w:rPr>
        <w:t>承销商选聘</w:t>
      </w:r>
      <w:r>
        <w:rPr>
          <w:rFonts w:hint="eastAsia" w:ascii="宋体" w:hAnsi="宋体"/>
          <w:b/>
          <w:snapToGrid w:val="0"/>
          <w:color w:val="000000" w:themeColor="text1"/>
          <w:kern w:val="0"/>
          <w:sz w:val="28"/>
          <w:szCs w:val="28"/>
          <w:highlight w:val="none"/>
          <w14:textFill>
            <w14:solidFill>
              <w14:schemeClr w14:val="tx1"/>
            </w14:solidFill>
          </w14:textFill>
        </w:rPr>
        <w:t>项目比选公告</w:t>
      </w:r>
    </w:p>
    <w:p w14:paraId="65D6117F">
      <w:pPr>
        <w:pStyle w:val="4"/>
        <w:spacing w:before="0" w:line="320" w:lineRule="exact"/>
        <w:ind w:firstLine="420" w:firstLineChars="200"/>
        <w:jc w:val="both"/>
        <w:rPr>
          <w:rFonts w:hint="eastAsia" w:ascii="宋体" w:hAnsi="宋体" w:eastAsia="宋体"/>
          <w:snapToGrid w:val="0"/>
          <w:color w:val="000000" w:themeColor="text1"/>
          <w:sz w:val="21"/>
          <w:szCs w:val="21"/>
          <w:highlight w:val="none"/>
          <w14:textFill>
            <w14:solidFill>
              <w14:schemeClr w14:val="tx1"/>
            </w14:solidFill>
          </w14:textFill>
        </w:rPr>
      </w:pPr>
      <w:bookmarkStart w:id="5" w:name="_Toc212871819"/>
    </w:p>
    <w:p w14:paraId="36BC8FE3">
      <w:pPr>
        <w:pStyle w:val="4"/>
        <w:spacing w:before="0" w:line="440" w:lineRule="exact"/>
        <w:ind w:firstLine="420" w:firstLineChars="200"/>
        <w:jc w:val="both"/>
        <w:rPr>
          <w:rFonts w:hint="eastAsia" w:ascii="宋体" w:hAnsi="宋体" w:eastAsia="宋体" w:cs="宋体"/>
          <w:b w:val="0"/>
          <w:bCs/>
          <w:color w:val="000000" w:themeColor="text1"/>
          <w:sz w:val="21"/>
          <w:szCs w:val="21"/>
          <w:highlight w:val="none"/>
          <w14:textFill>
            <w14:solidFill>
              <w14:schemeClr w14:val="tx1"/>
            </w14:solidFill>
          </w14:textFill>
        </w:rPr>
      </w:pPr>
      <w:bookmarkStart w:id="6" w:name="_Toc460241889"/>
      <w:bookmarkStart w:id="7" w:name="_Toc399713339"/>
      <w:r>
        <w:rPr>
          <w:rFonts w:hint="eastAsia" w:ascii="宋体" w:hAnsi="宋体" w:eastAsia="宋体"/>
          <w:snapToGrid w:val="0"/>
          <w:color w:val="000000" w:themeColor="text1"/>
          <w:sz w:val="21"/>
          <w:szCs w:val="21"/>
          <w:highlight w:val="none"/>
          <w14:textFill>
            <w14:solidFill>
              <w14:schemeClr w14:val="tx1"/>
            </w14:solidFill>
          </w14:textFill>
        </w:rPr>
        <w:t>1.招标条件</w:t>
      </w:r>
      <w:bookmarkEnd w:id="5"/>
      <w:bookmarkEnd w:id="6"/>
      <w:bookmarkEnd w:id="7"/>
      <w:r>
        <w:rPr>
          <w:rFonts w:hint="eastAsia" w:ascii="宋体" w:hAnsi="宋体" w:eastAsia="宋体" w:cs="宋体"/>
          <w:b w:val="0"/>
          <w:bCs/>
          <w:color w:val="000000" w:themeColor="text1"/>
          <w:sz w:val="21"/>
          <w:szCs w:val="21"/>
          <w:highlight w:val="none"/>
          <w14:textFill>
            <w14:solidFill>
              <w14:schemeClr w14:val="tx1"/>
            </w14:solidFill>
          </w14:textFill>
        </w:rPr>
        <w:t xml:space="preserve"> </w:t>
      </w:r>
    </w:p>
    <w:p w14:paraId="10F66653">
      <w:pPr>
        <w:widowControl/>
        <w:snapToGrid w:val="0"/>
        <w:spacing w:line="440" w:lineRule="exact"/>
        <w:ind w:firstLine="480"/>
        <w:jc w:val="left"/>
        <w:rPr>
          <w:rFonts w:hint="eastAsia" w:ascii="宋体" w:hAnsi="宋体" w:cs="宋体"/>
          <w:color w:val="000000" w:themeColor="text1"/>
          <w:kern w:val="0"/>
          <w:szCs w:val="21"/>
          <w:highlight w:val="none"/>
          <w14:textFill>
            <w14:solidFill>
              <w14:schemeClr w14:val="tx1"/>
            </w14:solidFill>
          </w14:textFill>
        </w:rPr>
      </w:pPr>
      <w:bookmarkStart w:id="8" w:name="_Toc399713340"/>
      <w:bookmarkStart w:id="9" w:name="_Toc460241890"/>
      <w:bookmarkStart w:id="10" w:name="_Toc214434226"/>
      <w:r>
        <w:rPr>
          <w:rFonts w:hint="eastAsia" w:ascii="宋体" w:hAnsi="宋体" w:cs="宋体"/>
          <w:color w:val="000000" w:themeColor="text1"/>
          <w:kern w:val="0"/>
          <w:szCs w:val="21"/>
          <w:highlight w:val="none"/>
          <w14:textFill>
            <w14:solidFill>
              <w14:schemeClr w14:val="tx1"/>
            </w14:solidFill>
          </w14:textFill>
        </w:rPr>
        <w:t>本比选项目</w:t>
      </w:r>
      <w:r>
        <w:rPr>
          <w:rFonts w:hint="eastAsia" w:ascii="宋体" w:hAnsi="宋体" w:cs="宋体"/>
          <w:color w:val="000000" w:themeColor="text1"/>
          <w:kern w:val="0"/>
          <w:szCs w:val="21"/>
          <w:highlight w:val="none"/>
          <w:u w:val="single"/>
          <w:lang w:eastAsia="zh-CN"/>
          <w14:textFill>
            <w14:solidFill>
              <w14:schemeClr w14:val="tx1"/>
            </w14:solidFill>
          </w14:textFill>
        </w:rPr>
        <w:t>重庆国际物流枢纽园区建设有限责任公司2026年度第二期中期票据</w:t>
      </w:r>
      <w:r>
        <w:rPr>
          <w:rFonts w:hint="eastAsia" w:ascii="宋体" w:hAnsi="宋体" w:cs="宋体"/>
          <w:color w:val="000000" w:themeColor="text1"/>
          <w:kern w:val="0"/>
          <w:szCs w:val="21"/>
          <w:highlight w:val="none"/>
          <w:u w:val="single"/>
          <w14:textFill>
            <w14:solidFill>
              <w14:schemeClr w14:val="tx1"/>
            </w14:solidFill>
          </w14:textFill>
        </w:rPr>
        <w:t>承销商选聘项目</w:t>
      </w:r>
      <w:r>
        <w:rPr>
          <w:rFonts w:hint="eastAsia" w:ascii="宋体" w:hAnsi="宋体" w:cs="宋体"/>
          <w:color w:val="000000" w:themeColor="text1"/>
          <w:kern w:val="0"/>
          <w:szCs w:val="21"/>
          <w:highlight w:val="none"/>
          <w14:textFill>
            <w14:solidFill>
              <w14:schemeClr w14:val="tx1"/>
            </w14:solidFill>
          </w14:textFill>
        </w:rPr>
        <w:t>，比选人为</w:t>
      </w:r>
      <w:r>
        <w:rPr>
          <w:rFonts w:hint="eastAsia" w:ascii="宋体" w:hAnsi="宋体" w:cs="宋体"/>
          <w:color w:val="000000" w:themeColor="text1"/>
          <w:kern w:val="0"/>
          <w:szCs w:val="21"/>
          <w:highlight w:val="none"/>
          <w:u w:val="single"/>
          <w14:textFill>
            <w14:solidFill>
              <w14:schemeClr w14:val="tx1"/>
            </w14:solidFill>
          </w14:textFill>
        </w:rPr>
        <w:t>重庆国际物流枢纽园区建设有限责任公司</w:t>
      </w:r>
      <w:r>
        <w:rPr>
          <w:rFonts w:hint="eastAsia" w:ascii="宋体" w:hAnsi="宋体" w:cs="宋体"/>
          <w:color w:val="000000" w:themeColor="text1"/>
          <w:kern w:val="0"/>
          <w:szCs w:val="21"/>
          <w:highlight w:val="none"/>
          <w14:textFill>
            <w14:solidFill>
              <w14:schemeClr w14:val="tx1"/>
            </w14:solidFill>
          </w14:textFill>
        </w:rPr>
        <w:t>，项目已具备比选条件，现诚邀符合条件的机构按比选公告及比选文件的要求参加本次比选。</w:t>
      </w:r>
    </w:p>
    <w:p w14:paraId="680BE53C">
      <w:pPr>
        <w:pStyle w:val="4"/>
        <w:spacing w:before="0" w:line="440" w:lineRule="exact"/>
        <w:ind w:firstLine="420" w:firstLineChars="200"/>
        <w:jc w:val="both"/>
        <w:rPr>
          <w:rFonts w:hint="eastAsia" w:ascii="宋体" w:hAnsi="宋体" w:eastAsia="宋体"/>
          <w:snapToGrid w:val="0"/>
          <w:color w:val="000000" w:themeColor="text1"/>
          <w:sz w:val="21"/>
          <w:szCs w:val="21"/>
          <w:highlight w:val="none"/>
          <w14:textFill>
            <w14:solidFill>
              <w14:schemeClr w14:val="tx1"/>
            </w14:solidFill>
          </w14:textFill>
        </w:rPr>
      </w:pPr>
      <w:r>
        <w:rPr>
          <w:rFonts w:hint="eastAsia" w:ascii="宋体" w:hAnsi="宋体" w:eastAsia="宋体"/>
          <w:snapToGrid w:val="0"/>
          <w:color w:val="000000" w:themeColor="text1"/>
          <w:sz w:val="21"/>
          <w:szCs w:val="21"/>
          <w:highlight w:val="none"/>
          <w14:textFill>
            <w14:solidFill>
              <w14:schemeClr w14:val="tx1"/>
            </w14:solidFill>
          </w14:textFill>
        </w:rPr>
        <w:t>2.项目概况与招标范围</w:t>
      </w:r>
      <w:bookmarkEnd w:id="8"/>
      <w:bookmarkEnd w:id="9"/>
      <w:bookmarkEnd w:id="10"/>
      <w:r>
        <w:rPr>
          <w:rFonts w:hint="eastAsia" w:ascii="宋体" w:hAnsi="宋体" w:eastAsia="宋体"/>
          <w:snapToGrid w:val="0"/>
          <w:color w:val="000000" w:themeColor="text1"/>
          <w:sz w:val="21"/>
          <w:szCs w:val="21"/>
          <w:highlight w:val="none"/>
          <w14:textFill>
            <w14:solidFill>
              <w14:schemeClr w14:val="tx1"/>
            </w14:solidFill>
          </w14:textFill>
        </w:rPr>
        <w:t xml:space="preserve"> </w:t>
      </w:r>
    </w:p>
    <w:p w14:paraId="29C89A6E">
      <w:pPr>
        <w:spacing w:line="44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2.1 项目概况：</w:t>
      </w:r>
    </w:p>
    <w:p w14:paraId="1F491451">
      <w:pPr>
        <w:spacing w:line="440" w:lineRule="exact"/>
        <w:ind w:firstLine="420" w:firstLineChars="200"/>
        <w:rPr>
          <w:rFonts w:hint="eastAsia"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2.1.1项目名称：</w:t>
      </w:r>
      <w:r>
        <w:rPr>
          <w:rFonts w:hint="eastAsia" w:ascii="宋体" w:hAnsi="宋体" w:cs="宋体"/>
          <w:color w:val="000000" w:themeColor="text1"/>
          <w:kern w:val="0"/>
          <w:szCs w:val="21"/>
          <w:highlight w:val="none"/>
          <w:lang w:eastAsia="zh-CN"/>
          <w14:textFill>
            <w14:solidFill>
              <w14:schemeClr w14:val="tx1"/>
            </w14:solidFill>
          </w14:textFill>
        </w:rPr>
        <w:t>重庆国际物流枢纽园区建设有限责任公司2026年度第二期中期票据</w:t>
      </w:r>
      <w:r>
        <w:rPr>
          <w:rFonts w:hint="eastAsia" w:ascii="宋体" w:hAnsi="宋体" w:cs="宋体"/>
          <w:color w:val="000000" w:themeColor="text1"/>
          <w:kern w:val="0"/>
          <w:szCs w:val="21"/>
          <w:highlight w:val="none"/>
          <w14:textFill>
            <w14:solidFill>
              <w14:schemeClr w14:val="tx1"/>
            </w14:solidFill>
          </w14:textFill>
        </w:rPr>
        <w:t>承销商选聘</w:t>
      </w:r>
    </w:p>
    <w:p w14:paraId="076D547E">
      <w:pPr>
        <w:spacing w:line="44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2.1.2 发行主体：重庆国际物流枢纽园区建设有限责任公司</w:t>
      </w:r>
    </w:p>
    <w:p w14:paraId="58B873C9">
      <w:pPr>
        <w:spacing w:line="44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2.1.3 债券品种：中期票据（简称“中票”）</w:t>
      </w:r>
    </w:p>
    <w:p w14:paraId="77A4689E">
      <w:pPr>
        <w:spacing w:line="44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2.1.4 申报规模：计划申报人民币</w:t>
      </w:r>
      <w:r>
        <w:rPr>
          <w:rFonts w:hint="eastAsia" w:ascii="宋体" w:hAnsi="宋体" w:cs="宋体"/>
          <w:color w:val="000000" w:themeColor="text1"/>
          <w:kern w:val="0"/>
          <w:szCs w:val="21"/>
          <w:highlight w:val="none"/>
          <w:lang w:val="en-US" w:eastAsia="zh-CN"/>
          <w14:textFill>
            <w14:solidFill>
              <w14:schemeClr w14:val="tx1"/>
            </w14:solidFill>
          </w14:textFill>
        </w:rPr>
        <w:t>4.3</w:t>
      </w:r>
      <w:r>
        <w:rPr>
          <w:rFonts w:hint="eastAsia" w:ascii="宋体" w:hAnsi="宋体" w:cs="宋体"/>
          <w:color w:val="000000" w:themeColor="text1"/>
          <w:kern w:val="0"/>
          <w:szCs w:val="21"/>
          <w:highlight w:val="none"/>
          <w14:textFill>
            <w14:solidFill>
              <w14:schemeClr w14:val="tx1"/>
            </w14:solidFill>
          </w14:textFill>
        </w:rPr>
        <w:t>亿元（实际申报发行金额由发行人根据实际需要确定）。</w:t>
      </w:r>
    </w:p>
    <w:p w14:paraId="762DF37A">
      <w:pPr>
        <w:spacing w:line="44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2.1.5 期限结构：拟发行5年或3年（具体发行期限根据发行时的实际需要确定）。</w:t>
      </w:r>
    </w:p>
    <w:p w14:paraId="23B3E566">
      <w:pPr>
        <w:spacing w:line="440" w:lineRule="exact"/>
        <w:ind w:firstLine="420" w:firstLineChars="200"/>
        <w:rPr>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2.1.</w:t>
      </w:r>
      <w:r>
        <w:rPr>
          <w:rFonts w:ascii="宋体" w:hAnsi="宋体" w:cs="宋体"/>
          <w:color w:val="000000" w:themeColor="text1"/>
          <w:kern w:val="0"/>
          <w:szCs w:val="21"/>
          <w:highlight w:val="none"/>
          <w14:textFill>
            <w14:solidFill>
              <w14:schemeClr w14:val="tx1"/>
            </w14:solidFill>
          </w14:textFill>
        </w:rPr>
        <w:t>7</w:t>
      </w:r>
      <w:r>
        <w:rPr>
          <w:rFonts w:hint="eastAsia" w:ascii="宋体" w:hAnsi="宋体" w:cs="宋体"/>
          <w:color w:val="000000" w:themeColor="text1"/>
          <w:kern w:val="0"/>
          <w:szCs w:val="21"/>
          <w:highlight w:val="none"/>
          <w14:textFill>
            <w14:solidFill>
              <w14:schemeClr w14:val="tx1"/>
            </w14:solidFill>
          </w14:textFill>
        </w:rPr>
        <w:t xml:space="preserve"> 发行方式：公募信用发行</w:t>
      </w:r>
    </w:p>
    <w:p w14:paraId="530184D1">
      <w:pPr>
        <w:spacing w:line="44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2.1.</w:t>
      </w:r>
      <w:r>
        <w:rPr>
          <w:rFonts w:ascii="宋体" w:hAnsi="宋体" w:cs="宋体"/>
          <w:color w:val="000000" w:themeColor="text1"/>
          <w:kern w:val="0"/>
          <w:szCs w:val="21"/>
          <w:highlight w:val="none"/>
          <w14:textFill>
            <w14:solidFill>
              <w14:schemeClr w14:val="tx1"/>
            </w14:solidFill>
          </w14:textFill>
        </w:rPr>
        <w:t>8</w:t>
      </w:r>
      <w:r>
        <w:rPr>
          <w:rFonts w:hint="eastAsia" w:ascii="宋体" w:hAnsi="宋体" w:cs="宋体"/>
          <w:color w:val="000000" w:themeColor="text1"/>
          <w:kern w:val="0"/>
          <w:szCs w:val="21"/>
          <w:highlight w:val="none"/>
          <w14:textFill>
            <w14:solidFill>
              <w14:schemeClr w14:val="tx1"/>
            </w14:solidFill>
          </w14:textFill>
        </w:rPr>
        <w:t xml:space="preserve"> 承销方式：余额包销</w:t>
      </w:r>
    </w:p>
    <w:p w14:paraId="29731C11">
      <w:pPr>
        <w:spacing w:line="44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2.1.</w:t>
      </w:r>
      <w:r>
        <w:rPr>
          <w:rFonts w:ascii="宋体" w:hAnsi="宋体" w:cs="宋体"/>
          <w:color w:val="000000" w:themeColor="text1"/>
          <w:kern w:val="0"/>
          <w:szCs w:val="21"/>
          <w:highlight w:val="none"/>
          <w14:textFill>
            <w14:solidFill>
              <w14:schemeClr w14:val="tx1"/>
            </w14:solidFill>
          </w14:textFill>
        </w:rPr>
        <w:t>9</w:t>
      </w:r>
      <w:r>
        <w:rPr>
          <w:rFonts w:hint="eastAsia" w:ascii="宋体" w:hAnsi="宋体" w:cs="宋体"/>
          <w:color w:val="000000" w:themeColor="text1"/>
          <w:kern w:val="0"/>
          <w:szCs w:val="21"/>
          <w:highlight w:val="none"/>
          <w14:textFill>
            <w14:solidFill>
              <w14:schemeClr w14:val="tx1"/>
            </w14:solidFill>
          </w14:textFill>
        </w:rPr>
        <w:t>募集资金用途：拟用于偿还债务融资工具本息等符合监管要求的用途</w:t>
      </w:r>
    </w:p>
    <w:p w14:paraId="31629A14">
      <w:pPr>
        <w:spacing w:line="44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招标范围：负责组织本次债券申报材料的编制，配合发行人进行债券报批；负责协调各相关中介机构开展与本次债券申报、发行相关的各项工作；负责承销发行本次债券，确保发行成本；负责本次债券存续期相关服务工作；负责其他债券申报和发行工作中的相关事宜。</w:t>
      </w:r>
    </w:p>
    <w:p w14:paraId="24362D85">
      <w:pPr>
        <w:pStyle w:val="4"/>
        <w:spacing w:before="0" w:line="440" w:lineRule="exact"/>
        <w:ind w:firstLine="420" w:firstLineChars="200"/>
        <w:jc w:val="both"/>
        <w:rPr>
          <w:rFonts w:hint="eastAsia" w:ascii="宋体" w:hAnsi="宋体" w:eastAsia="宋体"/>
          <w:snapToGrid w:val="0"/>
          <w:color w:val="000000" w:themeColor="text1"/>
          <w:sz w:val="21"/>
          <w:szCs w:val="21"/>
          <w:highlight w:val="none"/>
          <w14:textFill>
            <w14:solidFill>
              <w14:schemeClr w14:val="tx1"/>
            </w14:solidFill>
          </w14:textFill>
        </w:rPr>
      </w:pPr>
      <w:bookmarkStart w:id="11" w:name="_Toc460241891"/>
      <w:bookmarkStart w:id="12" w:name="_Toc399713341"/>
      <w:r>
        <w:rPr>
          <w:rFonts w:hint="eastAsia" w:ascii="宋体" w:hAnsi="宋体" w:eastAsia="宋体"/>
          <w:snapToGrid w:val="0"/>
          <w:color w:val="000000" w:themeColor="text1"/>
          <w:sz w:val="21"/>
          <w:szCs w:val="21"/>
          <w:highlight w:val="none"/>
          <w14:textFill>
            <w14:solidFill>
              <w14:schemeClr w14:val="tx1"/>
            </w14:solidFill>
          </w14:textFill>
        </w:rPr>
        <w:t>3.投标人资格要求</w:t>
      </w:r>
      <w:bookmarkEnd w:id="11"/>
      <w:bookmarkEnd w:id="12"/>
    </w:p>
    <w:p w14:paraId="21A64746">
      <w:pPr>
        <w:spacing w:line="44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bookmarkStart w:id="13" w:name="_Toc399713342"/>
      <w:r>
        <w:rPr>
          <w:rFonts w:hint="eastAsia" w:ascii="宋体" w:hAnsi="宋体" w:cs="宋体"/>
          <w:color w:val="000000" w:themeColor="text1"/>
          <w:kern w:val="0"/>
          <w:szCs w:val="21"/>
          <w:highlight w:val="none"/>
          <w14:textFill>
            <w14:solidFill>
              <w14:schemeClr w14:val="tx1"/>
            </w14:solidFill>
          </w14:textFill>
        </w:rPr>
        <w:t>3.1本次招标实行资格后审，投标人应满足下列资格条件和业绩要求：</w:t>
      </w:r>
    </w:p>
    <w:p w14:paraId="16C72A7C">
      <w:pPr>
        <w:spacing w:line="44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3.1.1投标人须为在中国境内注册并具有独立法人资格和承担民事责任的能力的机构</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可由分支机构参与投标</w:t>
      </w:r>
      <w:r>
        <w:rPr>
          <w:rFonts w:hint="eastAsia" w:ascii="宋体" w:hAnsi="宋体" w:cs="宋体"/>
          <w:color w:val="000000" w:themeColor="text1"/>
          <w:kern w:val="0"/>
          <w:szCs w:val="21"/>
          <w:highlight w:val="none"/>
          <w14:textFill>
            <w14:solidFill>
              <w14:schemeClr w14:val="tx1"/>
            </w14:solidFill>
          </w14:textFill>
        </w:rPr>
        <w:t>。</w:t>
      </w:r>
    </w:p>
    <w:p w14:paraId="58B0A6A1">
      <w:pPr>
        <w:spacing w:line="44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snapToGrid w:val="0"/>
          <w:color w:val="000000" w:themeColor="text1"/>
          <w:szCs w:val="21"/>
          <w:highlight w:val="none"/>
          <w14:textFill>
            <w14:solidFill>
              <w14:schemeClr w14:val="tx1"/>
            </w14:solidFill>
          </w14:textFill>
        </w:rPr>
        <w:t>3.1.</w:t>
      </w:r>
      <w:r>
        <w:rPr>
          <w:rFonts w:ascii="宋体" w:hAnsi="宋体"/>
          <w:snapToGrid w:val="0"/>
          <w:color w:val="000000" w:themeColor="text1"/>
          <w:szCs w:val="21"/>
          <w:highlight w:val="none"/>
          <w14:textFill>
            <w14:solidFill>
              <w14:schemeClr w14:val="tx1"/>
            </w14:solidFill>
          </w14:textFill>
        </w:rPr>
        <w:t>2</w:t>
      </w:r>
      <w:r>
        <w:rPr>
          <w:rFonts w:hint="eastAsia" w:ascii="宋体" w:hAnsi="宋体"/>
          <w:snapToGrid w:val="0"/>
          <w:color w:val="000000" w:themeColor="text1"/>
          <w:szCs w:val="21"/>
          <w:highlight w:val="none"/>
          <w14:textFill>
            <w14:solidFill>
              <w14:schemeClr w14:val="tx1"/>
            </w14:solidFill>
          </w14:textFill>
        </w:rPr>
        <w:t>近三年在经</w:t>
      </w:r>
      <w:r>
        <w:rPr>
          <w:rFonts w:hint="eastAsia" w:ascii="宋体" w:hAnsi="宋体" w:cs="宋体"/>
          <w:color w:val="000000" w:themeColor="text1"/>
          <w:kern w:val="0"/>
          <w:szCs w:val="21"/>
          <w:highlight w:val="none"/>
          <w14:textFill>
            <w14:solidFill>
              <w14:schemeClr w14:val="tx1"/>
            </w14:solidFill>
          </w14:textFill>
        </w:rPr>
        <w:t>营活动中没有重大违法记录或失信记录；没有受到过监管部门严重行政处罚并暂停债券发行相关业务，报名或参加比选时仍在处罚期内的。</w:t>
      </w:r>
    </w:p>
    <w:p w14:paraId="63EBF41F">
      <w:pPr>
        <w:spacing w:line="44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3.1.</w:t>
      </w:r>
      <w:r>
        <w:rPr>
          <w:rFonts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 xml:space="preserve"> 公司内部控制规范，财务报表未被注册会计师出具否定意见或者无法出具意见的。</w:t>
      </w:r>
    </w:p>
    <w:p w14:paraId="34BAE03F">
      <w:pPr>
        <w:spacing w:line="44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3.1.</w:t>
      </w:r>
      <w:r>
        <w:rPr>
          <w:rFonts w:ascii="宋体" w:hAnsi="宋体" w:cs="宋体"/>
          <w:color w:val="000000" w:themeColor="text1"/>
          <w:kern w:val="0"/>
          <w:szCs w:val="21"/>
          <w:highlight w:val="none"/>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 xml:space="preserve"> 未出现为争取业务向政府有关部门或国有企业非法进行利益输送或其他负面情形。</w:t>
      </w:r>
    </w:p>
    <w:p w14:paraId="3D8F73AE">
      <w:pPr>
        <w:spacing w:line="44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3.1.</w:t>
      </w:r>
      <w:r>
        <w:rPr>
          <w:rFonts w:ascii="宋体" w:hAnsi="宋体" w:cs="宋体"/>
          <w:color w:val="000000" w:themeColor="text1"/>
          <w:kern w:val="0"/>
          <w:szCs w:val="21"/>
          <w:highlight w:val="none"/>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 xml:space="preserve"> 具有履行业务所必须的专业技术能力和工作团队，有较强的承销实力和良好信誉。</w:t>
      </w:r>
    </w:p>
    <w:p w14:paraId="1B48D80B">
      <w:pPr>
        <w:spacing w:line="440" w:lineRule="exact"/>
        <w:ind w:firstLine="420" w:firstLineChars="200"/>
        <w:rPr>
          <w:rFonts w:hint="eastAsia" w:ascii="宋体" w:hAnsi="宋体"/>
          <w:snapToGrid w:val="0"/>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3.2 本次招标接受供应商单独投标</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不接受</w:t>
      </w:r>
      <w:r>
        <w:rPr>
          <w:rFonts w:hint="eastAsia" w:ascii="宋体" w:hAnsi="宋体" w:cs="宋体"/>
          <w:color w:val="000000" w:themeColor="text1"/>
          <w:kern w:val="0"/>
          <w:szCs w:val="21"/>
          <w:highlight w:val="none"/>
          <w14:textFill>
            <w14:solidFill>
              <w14:schemeClr w14:val="tx1"/>
            </w14:solidFill>
          </w14:textFill>
        </w:rPr>
        <w:t>联合体投标。</w:t>
      </w:r>
    </w:p>
    <w:p w14:paraId="1E0FC897">
      <w:pPr>
        <w:spacing w:line="440" w:lineRule="exact"/>
        <w:ind w:firstLine="422" w:firstLineChars="201"/>
        <w:rPr>
          <w:rFonts w:hint="eastAsia" w:ascii="宋体" w:hAnsi="宋体" w:cs="宋体"/>
          <w:color w:val="000000" w:themeColor="text1"/>
          <w:szCs w:val="21"/>
          <w:highlight w:val="none"/>
          <w14:textFill>
            <w14:solidFill>
              <w14:schemeClr w14:val="tx1"/>
            </w14:solidFill>
          </w14:textFill>
        </w:rPr>
      </w:pPr>
      <w:r>
        <w:rPr>
          <w:rFonts w:hint="eastAsia" w:ascii="宋体" w:hAnsi="宋体"/>
          <w:snapToGrid w:val="0"/>
          <w:color w:val="000000" w:themeColor="text1"/>
          <w:szCs w:val="21"/>
          <w:highlight w:val="none"/>
          <w14:textFill>
            <w14:solidFill>
              <w14:schemeClr w14:val="tx1"/>
            </w14:solidFill>
          </w14:textFill>
        </w:rPr>
        <w:t>3.3 本次比选采用综合评估法评定2家银行作为承销机构。中选承销机构后续在债券发行过程中若未能达到本次债券发行的硬性条件，或因</w:t>
      </w:r>
      <w:r>
        <w:rPr>
          <w:rFonts w:hint="eastAsia" w:ascii="宋体" w:hAnsi="宋体" w:cs="宋体"/>
          <w:color w:val="000000" w:themeColor="text1"/>
          <w:szCs w:val="21"/>
          <w:highlight w:val="none"/>
          <w14:textFill>
            <w14:solidFill>
              <w14:schemeClr w14:val="tx1"/>
            </w14:solidFill>
          </w14:textFill>
        </w:rPr>
        <w:t>在我司指定期限内未取得发行债券注册通知书等情况，严重影</w:t>
      </w:r>
      <w:r>
        <w:rPr>
          <w:rFonts w:hint="eastAsia" w:ascii="宋体" w:hAnsi="宋体"/>
          <w:snapToGrid w:val="0"/>
          <w:color w:val="000000" w:themeColor="text1"/>
          <w:szCs w:val="21"/>
          <w:highlight w:val="none"/>
          <w14:textFill>
            <w14:solidFill>
              <w14:schemeClr w14:val="tx1"/>
            </w14:solidFill>
          </w14:textFill>
        </w:rPr>
        <w:t>响发债工作推进，</w:t>
      </w:r>
      <w:r>
        <w:rPr>
          <w:rFonts w:hint="eastAsia" w:ascii="宋体" w:hAnsi="宋体" w:cs="宋体"/>
          <w:color w:val="000000" w:themeColor="text1"/>
          <w:kern w:val="0"/>
          <w:szCs w:val="21"/>
          <w:highlight w:val="none"/>
          <w14:textFill>
            <w14:solidFill>
              <w14:schemeClr w14:val="tx1"/>
            </w14:solidFill>
          </w14:textFill>
        </w:rPr>
        <w:t>我司</w:t>
      </w:r>
      <w:r>
        <w:rPr>
          <w:rFonts w:hint="eastAsia" w:ascii="宋体" w:hAnsi="宋体"/>
          <w:snapToGrid w:val="0"/>
          <w:color w:val="000000" w:themeColor="text1"/>
          <w:szCs w:val="21"/>
          <w:highlight w:val="none"/>
          <w14:textFill>
            <w14:solidFill>
              <w14:schemeClr w14:val="tx1"/>
            </w14:solidFill>
          </w14:textFill>
        </w:rPr>
        <w:t>有权决定扣减其承销费甚至要求该金融机构退出联</w:t>
      </w:r>
      <w:r>
        <w:rPr>
          <w:rFonts w:hint="eastAsia" w:ascii="宋体" w:hAnsi="宋体" w:cs="宋体"/>
          <w:color w:val="000000" w:themeColor="text1"/>
          <w:szCs w:val="21"/>
          <w:highlight w:val="none"/>
          <w14:textFill>
            <w14:solidFill>
              <w14:schemeClr w14:val="tx1"/>
            </w14:solidFill>
          </w14:textFill>
        </w:rPr>
        <w:t>合承销团队。</w:t>
      </w:r>
    </w:p>
    <w:p w14:paraId="22F8FF1C">
      <w:pPr>
        <w:pStyle w:val="4"/>
        <w:spacing w:line="440" w:lineRule="exact"/>
        <w:ind w:firstLine="481"/>
        <w:rPr>
          <w:rFonts w:hint="eastAsia" w:ascii="宋体" w:hAnsi="宋体" w:eastAsia="宋体" w:cs="宋体"/>
          <w:b w:val="0"/>
          <w:color w:val="000000" w:themeColor="text1"/>
          <w:kern w:val="2"/>
          <w:sz w:val="21"/>
          <w:szCs w:val="21"/>
          <w:highlight w:val="yellow"/>
          <w14:textFill>
            <w14:solidFill>
              <w14:schemeClr w14:val="tx1"/>
            </w14:solidFill>
          </w14:textFill>
        </w:rPr>
      </w:pPr>
      <w:r>
        <w:rPr>
          <w:rFonts w:hint="eastAsia" w:ascii="宋体" w:hAnsi="宋体" w:eastAsia="宋体" w:cs="宋体"/>
          <w:b w:val="0"/>
          <w:color w:val="000000" w:themeColor="text1"/>
          <w:kern w:val="2"/>
          <w:sz w:val="21"/>
          <w:szCs w:val="21"/>
          <w:highlight w:val="none"/>
          <w14:textFill>
            <w14:solidFill>
              <w14:schemeClr w14:val="tx1"/>
            </w14:solidFill>
          </w14:textFill>
        </w:rPr>
        <w:t>3.4具备非金融企业债务融资工具一般主承销商资格</w:t>
      </w:r>
      <w:r>
        <w:rPr>
          <w:rFonts w:hint="eastAsia" w:ascii="宋体" w:hAnsi="宋体" w:eastAsia="宋体" w:cs="宋体"/>
          <w:b w:val="0"/>
          <w:color w:val="000000" w:themeColor="text1"/>
          <w:kern w:val="2"/>
          <w:sz w:val="21"/>
          <w:szCs w:val="21"/>
          <w:highlight w:val="none"/>
          <w:lang w:val="en-US" w:eastAsia="zh-CN"/>
          <w14:textFill>
            <w14:solidFill>
              <w14:schemeClr w14:val="tx1"/>
            </w14:solidFill>
          </w14:textFill>
        </w:rPr>
        <w:t>的银行</w:t>
      </w:r>
      <w:r>
        <w:rPr>
          <w:rFonts w:hint="eastAsia" w:ascii="宋体" w:hAnsi="宋体" w:eastAsia="宋体" w:cs="宋体"/>
          <w:b w:val="0"/>
          <w:color w:val="000000" w:themeColor="text1"/>
          <w:kern w:val="2"/>
          <w:sz w:val="21"/>
          <w:szCs w:val="21"/>
          <w:highlight w:val="none"/>
          <w14:textFill>
            <w14:solidFill>
              <w14:schemeClr w14:val="tx1"/>
            </w14:solidFill>
          </w14:textFill>
        </w:rPr>
        <w:t>。</w:t>
      </w:r>
    </w:p>
    <w:p w14:paraId="1669E0FD">
      <w:pPr>
        <w:pStyle w:val="4"/>
        <w:spacing w:line="440" w:lineRule="exact"/>
        <w:ind w:firstLine="420" w:firstLineChars="200"/>
        <w:rPr>
          <w:color w:val="000000" w:themeColor="text1"/>
          <w:highlight w:val="none"/>
          <w14:textFill>
            <w14:solidFill>
              <w14:schemeClr w14:val="tx1"/>
            </w14:solidFill>
          </w14:textFill>
        </w:rPr>
      </w:pPr>
      <w:r>
        <w:rPr>
          <w:rFonts w:hint="eastAsia" w:ascii="宋体" w:hAnsi="宋体" w:eastAsia="宋体" w:cs="宋体"/>
          <w:b w:val="0"/>
          <w:color w:val="000000" w:themeColor="text1"/>
          <w:kern w:val="2"/>
          <w:sz w:val="21"/>
          <w:szCs w:val="21"/>
          <w:highlight w:val="none"/>
          <w14:textFill>
            <w14:solidFill>
              <w14:schemeClr w14:val="tx1"/>
            </w14:solidFill>
          </w14:textFill>
        </w:rPr>
        <w:t>3</w:t>
      </w:r>
      <w:r>
        <w:rPr>
          <w:rFonts w:ascii="宋体" w:hAnsi="宋体" w:eastAsia="宋体" w:cs="宋体"/>
          <w:b w:val="0"/>
          <w:color w:val="000000" w:themeColor="text1"/>
          <w:kern w:val="2"/>
          <w:sz w:val="21"/>
          <w:szCs w:val="21"/>
          <w:highlight w:val="none"/>
          <w14:textFill>
            <w14:solidFill>
              <w14:schemeClr w14:val="tx1"/>
            </w14:solidFill>
          </w14:textFill>
        </w:rPr>
        <w:t>.5</w:t>
      </w:r>
      <w:r>
        <w:rPr>
          <w:rFonts w:hint="eastAsia" w:ascii="宋体" w:hAnsi="宋体" w:eastAsia="宋体" w:cs="宋体"/>
          <w:b w:val="0"/>
          <w:color w:val="000000" w:themeColor="text1"/>
          <w:kern w:val="2"/>
          <w:sz w:val="21"/>
          <w:szCs w:val="21"/>
          <w:highlight w:val="none"/>
          <w14:textFill>
            <w14:solidFill>
              <w14:schemeClr w14:val="tx1"/>
            </w14:solidFill>
          </w14:textFill>
        </w:rPr>
        <w:t>金融机构作为主承销商对本次债券承担余额包销责任，在与发行人就发行窗口及发行利率区间达成一致的前提下，按照承销协议签订的余额包销比例对本次债券承担余额包销责任；承销费率原则为按年支付；本次债券发行为信用发行。</w:t>
      </w:r>
    </w:p>
    <w:p w14:paraId="73D88EB6">
      <w:pPr>
        <w:pStyle w:val="4"/>
        <w:spacing w:before="0" w:line="440" w:lineRule="exact"/>
        <w:ind w:firstLine="420" w:firstLineChars="200"/>
        <w:jc w:val="both"/>
        <w:rPr>
          <w:rFonts w:hint="eastAsia" w:ascii="宋体" w:hAnsi="宋体" w:eastAsia="宋体"/>
          <w:snapToGrid w:val="0"/>
          <w:color w:val="000000" w:themeColor="text1"/>
          <w:sz w:val="21"/>
          <w:szCs w:val="21"/>
          <w:highlight w:val="none"/>
          <w14:textFill>
            <w14:solidFill>
              <w14:schemeClr w14:val="tx1"/>
            </w14:solidFill>
          </w14:textFill>
        </w:rPr>
      </w:pPr>
      <w:bookmarkStart w:id="14" w:name="_Toc460241892"/>
      <w:r>
        <w:rPr>
          <w:rFonts w:hint="eastAsia" w:ascii="宋体" w:hAnsi="宋体" w:eastAsia="宋体"/>
          <w:snapToGrid w:val="0"/>
          <w:color w:val="000000" w:themeColor="text1"/>
          <w:sz w:val="21"/>
          <w:szCs w:val="21"/>
          <w:highlight w:val="none"/>
          <w14:textFill>
            <w14:solidFill>
              <w14:schemeClr w14:val="tx1"/>
            </w14:solidFill>
          </w14:textFill>
        </w:rPr>
        <w:t>4.招标文件的获取</w:t>
      </w:r>
      <w:bookmarkEnd w:id="13"/>
      <w:bookmarkEnd w:id="14"/>
    </w:p>
    <w:p w14:paraId="4CA47819">
      <w:pPr>
        <w:autoSpaceDE w:val="0"/>
        <w:autoSpaceDN w:val="0"/>
        <w:adjustRightInd w:val="0"/>
        <w:snapToGrid w:val="0"/>
        <w:spacing w:line="440" w:lineRule="exact"/>
        <w:ind w:firstLine="420" w:firstLineChars="200"/>
        <w:rPr>
          <w:rFonts w:hint="eastAsia" w:ascii="宋体" w:hAnsi="宋体"/>
          <w:b/>
          <w:snapToGrid w:val="0"/>
          <w:color w:val="000000" w:themeColor="text1"/>
          <w:szCs w:val="21"/>
          <w:highlight w:val="none"/>
          <w14:textFill>
            <w14:solidFill>
              <w14:schemeClr w14:val="tx1"/>
            </w14:solidFill>
          </w14:textFill>
        </w:rPr>
      </w:pPr>
      <w:bookmarkStart w:id="15" w:name="_Toc399713343"/>
      <w:r>
        <w:rPr>
          <w:rFonts w:hint="eastAsia" w:ascii="宋体" w:hAnsi="宋体"/>
          <w:snapToGrid w:val="0"/>
          <w:color w:val="000000" w:themeColor="text1"/>
          <w:szCs w:val="21"/>
          <w:highlight w:val="none"/>
          <w14:textFill>
            <w14:solidFill>
              <w14:schemeClr w14:val="tx1"/>
            </w14:solidFill>
          </w14:textFill>
        </w:rPr>
        <w:t>凡有意参加投标者，</w:t>
      </w:r>
      <w:r>
        <w:rPr>
          <w:rFonts w:hint="eastAsia" w:ascii="宋体" w:hAnsi="宋体" w:cs="MingLiU"/>
          <w:color w:val="000000" w:themeColor="text1"/>
          <w:kern w:val="0"/>
          <w:szCs w:val="21"/>
          <w:highlight w:val="none"/>
          <w14:textFill>
            <w14:solidFill>
              <w14:schemeClr w14:val="tx1"/>
            </w14:solidFill>
          </w14:textFill>
        </w:rPr>
        <w:t>请</w:t>
      </w:r>
      <w:r>
        <w:rPr>
          <w:rFonts w:hint="eastAsia" w:ascii="宋体" w:hAnsi="宋体"/>
          <w:snapToGrid w:val="0"/>
          <w:color w:val="000000" w:themeColor="text1"/>
          <w:szCs w:val="21"/>
          <w:highlight w:val="none"/>
          <w14:textFill>
            <w14:solidFill>
              <w14:schemeClr w14:val="tx1"/>
            </w14:solidFill>
          </w14:textFill>
        </w:rPr>
        <w:t>于2026年</w:t>
      </w:r>
      <w:r>
        <w:rPr>
          <w:rFonts w:hint="eastAsia" w:ascii="宋体" w:hAnsi="宋体"/>
          <w:snapToGrid w:val="0"/>
          <w:color w:val="000000" w:themeColor="text1"/>
          <w:szCs w:val="21"/>
          <w:highlight w:val="none"/>
          <w:lang w:val="en-US" w:eastAsia="zh-CN"/>
          <w14:textFill>
            <w14:solidFill>
              <w14:schemeClr w14:val="tx1"/>
            </w14:solidFill>
          </w14:textFill>
        </w:rPr>
        <w:t>6</w:t>
      </w:r>
      <w:r>
        <w:rPr>
          <w:rFonts w:hint="eastAsia" w:ascii="宋体" w:hAnsi="宋体"/>
          <w:snapToGrid w:val="0"/>
          <w:color w:val="000000" w:themeColor="text1"/>
          <w:szCs w:val="21"/>
          <w:highlight w:val="none"/>
          <w14:textFill>
            <w14:solidFill>
              <w14:schemeClr w14:val="tx1"/>
            </w14:solidFill>
          </w14:textFill>
        </w:rPr>
        <w:t>月</w:t>
      </w:r>
      <w:r>
        <w:rPr>
          <w:rFonts w:hint="eastAsia" w:ascii="宋体" w:hAnsi="宋体"/>
          <w:snapToGrid w:val="0"/>
          <w:color w:val="000000" w:themeColor="text1"/>
          <w:szCs w:val="21"/>
          <w:highlight w:val="none"/>
          <w:lang w:val="en-US" w:eastAsia="zh-CN"/>
          <w14:textFill>
            <w14:solidFill>
              <w14:schemeClr w14:val="tx1"/>
            </w14:solidFill>
          </w14:textFill>
        </w:rPr>
        <w:t>10</w:t>
      </w:r>
      <w:r>
        <w:rPr>
          <w:rFonts w:hint="eastAsia" w:ascii="宋体" w:hAnsi="宋体"/>
          <w:snapToGrid w:val="0"/>
          <w:color w:val="000000" w:themeColor="text1"/>
          <w:szCs w:val="21"/>
          <w:highlight w:val="none"/>
          <w14:textFill>
            <w14:solidFill>
              <w14:schemeClr w14:val="tx1"/>
            </w14:solidFill>
          </w14:textFill>
        </w:rPr>
        <w:t>日起，（北京</w:t>
      </w:r>
      <w:r>
        <w:rPr>
          <w:rFonts w:hint="eastAsia" w:ascii="宋体" w:hAnsi="宋体" w:cs="MingLiU"/>
          <w:color w:val="000000" w:themeColor="text1"/>
          <w:kern w:val="0"/>
          <w:szCs w:val="21"/>
          <w:highlight w:val="none"/>
          <w14:textFill>
            <w14:solidFill>
              <w14:schemeClr w14:val="tx1"/>
            </w14:solidFill>
          </w14:textFill>
        </w:rPr>
        <w:t>时间，下同），在</w:t>
      </w:r>
      <w:r>
        <w:rPr>
          <w:rFonts w:hint="eastAsia" w:ascii="宋体" w:hAnsi="宋体" w:cs="宋体"/>
          <w:color w:val="000000" w:themeColor="text1"/>
          <w:szCs w:val="21"/>
          <w:highlight w:val="none"/>
          <w14:textFill>
            <w14:solidFill>
              <w14:schemeClr w14:val="tx1"/>
            </w14:solidFill>
          </w14:textFill>
        </w:rPr>
        <w:t>重庆国际物流枢纽园区建设有限责任公司</w:t>
      </w:r>
      <w:r>
        <w:rPr>
          <w:rFonts w:hint="eastAsia" w:ascii="宋体" w:hAnsi="宋体" w:cs="MingLiU"/>
          <w:color w:val="000000" w:themeColor="text1"/>
          <w:kern w:val="0"/>
          <w:szCs w:val="21"/>
          <w:highlight w:val="none"/>
          <w14:textFill>
            <w14:solidFill>
              <w14:schemeClr w14:val="tx1"/>
            </w14:solidFill>
          </w14:textFill>
        </w:rPr>
        <w:t>官网（</w:t>
      </w:r>
      <w:r>
        <w:rPr>
          <w:rFonts w:ascii="宋体" w:hAnsi="宋体" w:cs="MingLiU"/>
          <w:color w:val="000000" w:themeColor="text1"/>
          <w:kern w:val="0"/>
          <w:szCs w:val="21"/>
          <w:highlight w:val="none"/>
          <w14:textFill>
            <w14:solidFill>
              <w14:schemeClr w14:val="tx1"/>
            </w14:solidFill>
          </w14:textFill>
        </w:rPr>
        <w:t>http://www.wmlip.com/</w:t>
      </w:r>
      <w:r>
        <w:rPr>
          <w:rFonts w:hint="eastAsia" w:ascii="宋体" w:hAnsi="宋体" w:cs="MingLiU"/>
          <w:color w:val="000000" w:themeColor="text1"/>
          <w:kern w:val="0"/>
          <w:szCs w:val="21"/>
          <w:highlight w:val="none"/>
          <w14:textFill>
            <w14:solidFill>
              <w14:schemeClr w14:val="tx1"/>
            </w14:solidFill>
          </w14:textFill>
        </w:rPr>
        <w:t>）上“公告公示”区仔细阅读和下载：招标文件、澄清、修改、补充通知等全部内容。不管下载与否都视为潜在投标人全部知晓有关招投标过程和全部内容。</w:t>
      </w:r>
    </w:p>
    <w:bookmarkEnd w:id="15"/>
    <w:p w14:paraId="16CD74D8">
      <w:pPr>
        <w:pStyle w:val="4"/>
        <w:spacing w:before="0" w:line="440" w:lineRule="exact"/>
        <w:ind w:firstLine="420" w:firstLineChars="200"/>
        <w:jc w:val="both"/>
        <w:rPr>
          <w:rFonts w:hint="eastAsia" w:ascii="宋体" w:hAnsi="宋体" w:eastAsia="宋体"/>
          <w:snapToGrid w:val="0"/>
          <w:color w:val="000000" w:themeColor="text1"/>
          <w:sz w:val="21"/>
          <w:szCs w:val="21"/>
          <w:highlight w:val="none"/>
          <w14:textFill>
            <w14:solidFill>
              <w14:schemeClr w14:val="tx1"/>
            </w14:solidFill>
          </w14:textFill>
        </w:rPr>
      </w:pPr>
      <w:bookmarkStart w:id="16" w:name="_Toc460241893"/>
      <w:r>
        <w:rPr>
          <w:rFonts w:hint="eastAsia" w:ascii="宋体" w:hAnsi="宋体" w:eastAsia="宋体"/>
          <w:snapToGrid w:val="0"/>
          <w:color w:val="000000" w:themeColor="text1"/>
          <w:sz w:val="21"/>
          <w:szCs w:val="21"/>
          <w:highlight w:val="none"/>
          <w14:textFill>
            <w14:solidFill>
              <w14:schemeClr w14:val="tx1"/>
            </w14:solidFill>
          </w14:textFill>
        </w:rPr>
        <w:t>5.投标文件的递交</w:t>
      </w:r>
      <w:bookmarkEnd w:id="16"/>
    </w:p>
    <w:p w14:paraId="117ED1EC">
      <w:pPr>
        <w:tabs>
          <w:tab w:val="left" w:pos="1580"/>
          <w:tab w:val="left" w:pos="6000"/>
          <w:tab w:val="left" w:pos="6320"/>
          <w:tab w:val="left" w:pos="6887"/>
        </w:tabs>
        <w:autoSpaceDE w:val="0"/>
        <w:autoSpaceDN w:val="0"/>
        <w:adjustRightInd w:val="0"/>
        <w:snapToGrid w:val="0"/>
        <w:spacing w:line="440" w:lineRule="exact"/>
        <w:ind w:firstLine="420" w:firstLineChars="200"/>
        <w:rPr>
          <w:rFonts w:hint="eastAsia" w:ascii="宋体" w:hAnsi="宋体"/>
          <w:snapToGrid w:val="0"/>
          <w:color w:val="000000" w:themeColor="text1"/>
          <w:szCs w:val="21"/>
          <w:highlight w:val="none"/>
          <w14:textFill>
            <w14:solidFill>
              <w14:schemeClr w14:val="tx1"/>
            </w14:solidFill>
          </w14:textFill>
        </w:rPr>
      </w:pPr>
      <w:bookmarkStart w:id="17" w:name="_Toc306877510"/>
      <w:bookmarkStart w:id="18" w:name="_Toc399713344"/>
      <w:bookmarkStart w:id="19" w:name="_Toc347483465"/>
      <w:r>
        <w:rPr>
          <w:rFonts w:hint="eastAsia" w:ascii="宋体" w:hAnsi="宋体"/>
          <w:snapToGrid w:val="0"/>
          <w:color w:val="000000" w:themeColor="text1"/>
          <w:szCs w:val="21"/>
          <w:highlight w:val="none"/>
          <w14:textFill>
            <w14:solidFill>
              <w14:schemeClr w14:val="tx1"/>
            </w14:solidFill>
          </w14:textFill>
        </w:rPr>
        <w:t>投标文件递交截止时间及开标时间以比选文件为准，地点为</w:t>
      </w:r>
      <w:r>
        <w:rPr>
          <w:rFonts w:hint="eastAsia" w:ascii="宋体" w:hAnsi="宋体" w:cs="宋体"/>
          <w:color w:val="000000" w:themeColor="text1"/>
          <w:kern w:val="0"/>
          <w:szCs w:val="21"/>
          <w:highlight w:val="none"/>
          <w14:textFill>
            <w14:solidFill>
              <w14:schemeClr w14:val="tx1"/>
            </w14:solidFill>
          </w14:textFill>
        </w:rPr>
        <w:t>重庆国际物流枢纽园区建设有限责任公司</w:t>
      </w:r>
      <w:r>
        <w:rPr>
          <w:rFonts w:hint="eastAsia" w:ascii="宋体" w:hAnsi="宋体"/>
          <w:snapToGrid w:val="0"/>
          <w:color w:val="000000" w:themeColor="text1"/>
          <w:szCs w:val="21"/>
          <w:highlight w:val="none"/>
          <w14:textFill>
            <w14:solidFill>
              <w14:schemeClr w14:val="tx1"/>
            </w14:solidFill>
          </w14:textFill>
        </w:rPr>
        <w:t>。</w:t>
      </w:r>
    </w:p>
    <w:p w14:paraId="04605F96">
      <w:pPr>
        <w:autoSpaceDE w:val="0"/>
        <w:autoSpaceDN w:val="0"/>
        <w:adjustRightInd w:val="0"/>
        <w:snapToGrid w:val="0"/>
        <w:spacing w:line="440" w:lineRule="exact"/>
        <w:ind w:firstLine="420" w:firstLineChars="200"/>
        <w:rPr>
          <w:rFonts w:hint="eastAsia" w:ascii="宋体" w:hAnsi="宋体" w:cs="MingLiU"/>
          <w:snapToGrid w:val="0"/>
          <w:color w:val="000000" w:themeColor="text1"/>
          <w:kern w:val="0"/>
          <w:highlight w:val="none"/>
          <w14:textFill>
            <w14:solidFill>
              <w14:schemeClr w14:val="tx1"/>
            </w14:solidFill>
          </w14:textFill>
        </w:rPr>
      </w:pPr>
      <w:r>
        <w:rPr>
          <w:rFonts w:hint="eastAsia" w:ascii="宋体" w:hAnsi="宋体"/>
          <w:snapToGrid w:val="0"/>
          <w:color w:val="000000" w:themeColor="text1"/>
          <w:szCs w:val="21"/>
          <w:highlight w:val="none"/>
          <w14:textFill>
            <w14:solidFill>
              <w14:schemeClr w14:val="tx1"/>
            </w14:solidFill>
          </w14:textFill>
        </w:rPr>
        <w:t>逾期送达的或者未送达指定地点的比选申请文件，比选人不予受理。</w:t>
      </w:r>
    </w:p>
    <w:bookmarkEnd w:id="17"/>
    <w:bookmarkEnd w:id="18"/>
    <w:bookmarkEnd w:id="19"/>
    <w:p w14:paraId="7C63EC5B">
      <w:pPr>
        <w:pStyle w:val="3"/>
        <w:spacing w:line="440" w:lineRule="exact"/>
        <w:ind w:firstLine="418" w:firstLineChars="200"/>
        <w:jc w:val="both"/>
        <w:rPr>
          <w:rFonts w:hint="eastAsia" w:ascii="宋体" w:hAnsi="宋体" w:eastAsia="宋体"/>
          <w:snapToGrid w:val="0"/>
          <w:color w:val="000000" w:themeColor="text1"/>
          <w:sz w:val="21"/>
          <w:szCs w:val="21"/>
          <w:highlight w:val="none"/>
          <w14:textFill>
            <w14:solidFill>
              <w14:schemeClr w14:val="tx1"/>
            </w14:solidFill>
          </w14:textFill>
        </w:rPr>
      </w:pPr>
      <w:bookmarkStart w:id="20" w:name="_Toc399713348"/>
      <w:bookmarkStart w:id="21" w:name="_Toc460241895"/>
      <w:r>
        <w:rPr>
          <w:rFonts w:hint="eastAsia" w:ascii="宋体" w:hAnsi="宋体" w:eastAsia="宋体"/>
          <w:snapToGrid w:val="0"/>
          <w:color w:val="000000" w:themeColor="text1"/>
          <w:sz w:val="21"/>
          <w:szCs w:val="21"/>
          <w:highlight w:val="none"/>
          <w14:textFill>
            <w14:solidFill>
              <w14:schemeClr w14:val="tx1"/>
            </w14:solidFill>
          </w14:textFill>
        </w:rPr>
        <w:t>6.联系方式</w:t>
      </w:r>
      <w:bookmarkEnd w:id="20"/>
      <w:bookmarkEnd w:id="21"/>
    </w:p>
    <w:p w14:paraId="38B4A914">
      <w:pPr>
        <w:spacing w:line="44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招 标 人：重庆国际物流枢纽园区建设有限责任公司</w:t>
      </w:r>
    </w:p>
    <w:p w14:paraId="6F9307AE">
      <w:pPr>
        <w:ind w:firstLine="420" w:firstLineChars="200"/>
        <w:rPr>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地    址：</w:t>
      </w:r>
      <w:r>
        <w:rPr>
          <w:rFonts w:hint="eastAsia"/>
          <w:color w:val="000000" w:themeColor="text1"/>
          <w:highlight w:val="none"/>
          <w14:textFill>
            <w14:solidFill>
              <w14:schemeClr w14:val="tx1"/>
            </w14:solidFill>
          </w14:textFill>
        </w:rPr>
        <w:t>重庆市沙坪坝区土主镇享通路39号黄金湾智谷B1栋</w:t>
      </w:r>
    </w:p>
    <w:p w14:paraId="6CA5C1FF">
      <w:pPr>
        <w:spacing w:line="44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联 系 人：张平　</w:t>
      </w:r>
    </w:p>
    <w:p w14:paraId="66648625">
      <w:pPr>
        <w:spacing w:line="44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联系电话：</w:t>
      </w:r>
      <w:r>
        <w:rPr>
          <w:rFonts w:ascii="宋体" w:hAnsi="宋体" w:cs="宋体"/>
          <w:color w:val="000000" w:themeColor="text1"/>
          <w:kern w:val="0"/>
          <w:szCs w:val="21"/>
          <w:highlight w:val="none"/>
          <w14:textFill>
            <w14:solidFill>
              <w14:schemeClr w14:val="tx1"/>
            </w14:solidFill>
          </w14:textFill>
        </w:rPr>
        <w:t>023-65673985</w:t>
      </w:r>
    </w:p>
    <w:p w14:paraId="2339B0F4">
      <w:pPr>
        <w:spacing w:line="240" w:lineRule="auto"/>
        <w:ind w:firstLine="0" w:firstLineChars="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br w:type="page"/>
      </w:r>
    </w:p>
    <w:p w14:paraId="13136F7C">
      <w:pPr>
        <w:rPr>
          <w:rFonts w:hint="eastAsia" w:ascii="宋体" w:hAnsi="宋体" w:cs="宋体"/>
          <w:color w:val="000000" w:themeColor="text1"/>
          <w:kern w:val="0"/>
          <w:szCs w:val="21"/>
          <w:highlight w:val="none"/>
          <w14:textFill>
            <w14:solidFill>
              <w14:schemeClr w14:val="tx1"/>
            </w14:solidFill>
          </w14:textFill>
        </w:rPr>
      </w:pPr>
    </w:p>
    <w:p w14:paraId="55513826">
      <w:pPr>
        <w:pStyle w:val="3"/>
        <w:jc w:val="center"/>
        <w:rPr>
          <w:rFonts w:hint="eastAsia" w:ascii="宋体" w:hAnsi="宋体" w:eastAsia="宋体"/>
          <w:color w:val="000000" w:themeColor="text1"/>
          <w:sz w:val="48"/>
          <w:szCs w:val="48"/>
          <w:highlight w:val="none"/>
          <w14:textFill>
            <w14:solidFill>
              <w14:schemeClr w14:val="tx1"/>
            </w14:solidFill>
          </w14:textFill>
        </w:rPr>
      </w:pPr>
      <w:bookmarkStart w:id="22" w:name="_Toc460241896"/>
      <w:r>
        <w:rPr>
          <w:rFonts w:hint="eastAsia" w:ascii="宋体" w:hAnsi="宋体" w:eastAsia="宋体"/>
          <w:color w:val="000000" w:themeColor="text1"/>
          <w:sz w:val="48"/>
          <w:szCs w:val="48"/>
          <w:highlight w:val="none"/>
          <w14:textFill>
            <w14:solidFill>
              <w14:schemeClr w14:val="tx1"/>
            </w14:solidFill>
          </w14:textFill>
        </w:rPr>
        <w:t>第二章 投标人须知</w:t>
      </w:r>
      <w:bookmarkEnd w:id="0"/>
      <w:bookmarkEnd w:id="22"/>
    </w:p>
    <w:tbl>
      <w:tblPr>
        <w:tblStyle w:val="26"/>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843"/>
        <w:gridCol w:w="5811"/>
      </w:tblGrid>
      <w:tr w14:paraId="79CA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blHeader/>
        </w:trPr>
        <w:tc>
          <w:tcPr>
            <w:tcW w:w="993" w:type="dxa"/>
            <w:vAlign w:val="center"/>
          </w:tcPr>
          <w:p w14:paraId="0349FBBA">
            <w:pPr>
              <w:snapToGrid w:val="0"/>
              <w:spacing w:line="360" w:lineRule="exact"/>
              <w:jc w:val="center"/>
              <w:rPr>
                <w:rFonts w:hint="eastAsia"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条款号</w:t>
            </w:r>
          </w:p>
        </w:tc>
        <w:tc>
          <w:tcPr>
            <w:tcW w:w="1843" w:type="dxa"/>
            <w:vAlign w:val="center"/>
          </w:tcPr>
          <w:p w14:paraId="549EEBB2">
            <w:pPr>
              <w:snapToGrid w:val="0"/>
              <w:spacing w:line="360" w:lineRule="exact"/>
              <w:jc w:val="center"/>
              <w:rPr>
                <w:rFonts w:hint="eastAsia"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条款名称</w:t>
            </w:r>
          </w:p>
        </w:tc>
        <w:tc>
          <w:tcPr>
            <w:tcW w:w="5811" w:type="dxa"/>
            <w:vAlign w:val="center"/>
          </w:tcPr>
          <w:p w14:paraId="34AED533">
            <w:pPr>
              <w:snapToGrid w:val="0"/>
              <w:spacing w:line="360" w:lineRule="exact"/>
              <w:jc w:val="center"/>
              <w:rPr>
                <w:rFonts w:hint="eastAsia"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编  列  内  容</w:t>
            </w:r>
          </w:p>
        </w:tc>
      </w:tr>
      <w:tr w14:paraId="40235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14:paraId="56AB1CAC">
            <w:pPr>
              <w:snapToGrid w:val="0"/>
              <w:spacing w:line="36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1.1.1</w:t>
            </w:r>
          </w:p>
        </w:tc>
        <w:tc>
          <w:tcPr>
            <w:tcW w:w="1843" w:type="dxa"/>
            <w:vAlign w:val="center"/>
          </w:tcPr>
          <w:p w14:paraId="6E544F62">
            <w:pPr>
              <w:snapToGrid w:val="0"/>
              <w:spacing w:line="36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招标人</w:t>
            </w:r>
          </w:p>
        </w:tc>
        <w:tc>
          <w:tcPr>
            <w:tcW w:w="5811" w:type="dxa"/>
            <w:vAlign w:val="center"/>
          </w:tcPr>
          <w:p w14:paraId="576DF9D1">
            <w:pPr>
              <w:spacing w:line="440" w:lineRule="exac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招 标 人：重庆国际物流枢纽园区建设有限责任公司</w:t>
            </w:r>
          </w:p>
          <w:p w14:paraId="56477330">
            <w:pPr>
              <w:rPr>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地    址：</w:t>
            </w:r>
            <w:r>
              <w:rPr>
                <w:rFonts w:hint="eastAsia"/>
                <w:color w:val="000000" w:themeColor="text1"/>
                <w:highlight w:val="none"/>
                <w14:textFill>
                  <w14:solidFill>
                    <w14:schemeClr w14:val="tx1"/>
                  </w14:solidFill>
                </w14:textFill>
              </w:rPr>
              <w:t>重庆市沙坪坝区土主镇享通路39号黄金湾智谷B1栋</w:t>
            </w:r>
          </w:p>
          <w:p w14:paraId="1FCBB670">
            <w:pPr>
              <w:spacing w:line="320" w:lineRule="exac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联 系 人：张平</w:t>
            </w:r>
          </w:p>
          <w:p w14:paraId="4CE2715C">
            <w:pPr>
              <w:spacing w:line="440" w:lineRule="exac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联系电话：</w:t>
            </w:r>
            <w:r>
              <w:rPr>
                <w:rFonts w:ascii="宋体" w:hAnsi="宋体" w:cs="宋体"/>
                <w:color w:val="000000" w:themeColor="text1"/>
                <w:kern w:val="0"/>
                <w:szCs w:val="21"/>
                <w:highlight w:val="none"/>
                <w14:textFill>
                  <w14:solidFill>
                    <w14:schemeClr w14:val="tx1"/>
                  </w14:solidFill>
                </w14:textFill>
              </w:rPr>
              <w:t>023-65673985</w:t>
            </w:r>
          </w:p>
        </w:tc>
      </w:tr>
      <w:tr w14:paraId="05C5E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93" w:type="dxa"/>
            <w:vAlign w:val="center"/>
          </w:tcPr>
          <w:p w14:paraId="39F2F860">
            <w:pPr>
              <w:snapToGrid w:val="0"/>
              <w:spacing w:line="36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1.1.2</w:t>
            </w:r>
          </w:p>
        </w:tc>
        <w:tc>
          <w:tcPr>
            <w:tcW w:w="1843" w:type="dxa"/>
            <w:vAlign w:val="center"/>
          </w:tcPr>
          <w:p w14:paraId="225D4561">
            <w:pPr>
              <w:snapToGrid w:val="0"/>
              <w:spacing w:line="36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项目名称</w:t>
            </w:r>
          </w:p>
        </w:tc>
        <w:tc>
          <w:tcPr>
            <w:tcW w:w="5811" w:type="dxa"/>
            <w:vAlign w:val="center"/>
          </w:tcPr>
          <w:p w14:paraId="410CA6B0">
            <w:pPr>
              <w:spacing w:line="440" w:lineRule="exac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重庆国际物流枢纽园区建设有限责任公司2026年度第二期中期票据</w:t>
            </w:r>
            <w:r>
              <w:rPr>
                <w:rFonts w:hint="eastAsia" w:ascii="宋体" w:hAnsi="宋体" w:cs="宋体"/>
                <w:color w:val="000000" w:themeColor="text1"/>
                <w:kern w:val="0"/>
                <w:szCs w:val="21"/>
                <w:highlight w:val="none"/>
                <w14:textFill>
                  <w14:solidFill>
                    <w14:schemeClr w14:val="tx1"/>
                  </w14:solidFill>
                </w14:textFill>
              </w:rPr>
              <w:t>承销商选聘</w:t>
            </w:r>
          </w:p>
        </w:tc>
      </w:tr>
      <w:tr w14:paraId="18B8F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93" w:type="dxa"/>
            <w:vAlign w:val="center"/>
          </w:tcPr>
          <w:p w14:paraId="6787C23B">
            <w:pPr>
              <w:snapToGrid w:val="0"/>
              <w:spacing w:line="36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1.1.3</w:t>
            </w:r>
          </w:p>
        </w:tc>
        <w:tc>
          <w:tcPr>
            <w:tcW w:w="1843" w:type="dxa"/>
            <w:vAlign w:val="center"/>
          </w:tcPr>
          <w:p w14:paraId="15E7896D">
            <w:pPr>
              <w:snapToGrid w:val="0"/>
              <w:spacing w:line="36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项目地点</w:t>
            </w:r>
          </w:p>
        </w:tc>
        <w:tc>
          <w:tcPr>
            <w:tcW w:w="5811" w:type="dxa"/>
            <w:vAlign w:val="center"/>
          </w:tcPr>
          <w:p w14:paraId="51B1CECE">
            <w:pPr>
              <w:rPr>
                <w:rFonts w:hint="eastAsia" w:ascii="宋体" w:hAnsi="宋体" w:cs="宋体"/>
                <w:bCs/>
                <w:color w:val="000000" w:themeColor="text1"/>
                <w:kern w:val="0"/>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重庆市沙坪坝区土主镇享通路39号黄金湾智谷B1栋</w:t>
            </w:r>
          </w:p>
        </w:tc>
      </w:tr>
      <w:tr w14:paraId="6C59F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93" w:type="dxa"/>
            <w:vAlign w:val="center"/>
          </w:tcPr>
          <w:p w14:paraId="79313296">
            <w:pPr>
              <w:snapToGrid w:val="0"/>
              <w:spacing w:line="36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1.1.4</w:t>
            </w:r>
          </w:p>
        </w:tc>
        <w:tc>
          <w:tcPr>
            <w:tcW w:w="1843" w:type="dxa"/>
            <w:vAlign w:val="center"/>
          </w:tcPr>
          <w:p w14:paraId="4B504994">
            <w:pPr>
              <w:snapToGrid w:val="0"/>
              <w:spacing w:line="36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项目概况</w:t>
            </w:r>
          </w:p>
        </w:tc>
        <w:tc>
          <w:tcPr>
            <w:tcW w:w="5811" w:type="dxa"/>
            <w:vAlign w:val="center"/>
          </w:tcPr>
          <w:p w14:paraId="6B91356A">
            <w:pPr>
              <w:spacing w:line="44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向中国银行间市场交易商协会申报中票，计划申报人民币</w:t>
            </w:r>
            <w:r>
              <w:rPr>
                <w:rFonts w:hint="eastAsia" w:ascii="宋体" w:hAnsi="宋体" w:cs="宋体"/>
                <w:color w:val="000000" w:themeColor="text1"/>
                <w:kern w:val="0"/>
                <w:szCs w:val="21"/>
                <w:highlight w:val="none"/>
                <w:lang w:val="en-US" w:eastAsia="zh-CN"/>
                <w14:textFill>
                  <w14:solidFill>
                    <w14:schemeClr w14:val="tx1"/>
                  </w14:solidFill>
                </w14:textFill>
              </w:rPr>
              <w:t>4.3</w:t>
            </w:r>
            <w:r>
              <w:rPr>
                <w:rFonts w:hint="eastAsia" w:ascii="宋体" w:hAnsi="宋体" w:cs="宋体"/>
                <w:color w:val="000000" w:themeColor="text1"/>
                <w:kern w:val="0"/>
                <w:szCs w:val="21"/>
                <w:highlight w:val="none"/>
                <w14:textFill>
                  <w14:solidFill>
                    <w14:schemeClr w14:val="tx1"/>
                  </w14:solidFill>
                </w14:textFill>
              </w:rPr>
              <w:t>亿元（实际申报发行金额由发行人根据实际需要确定）。</w:t>
            </w:r>
          </w:p>
          <w:p w14:paraId="4F6FC8A3">
            <w:pPr>
              <w:spacing w:line="440" w:lineRule="exact"/>
              <w:rPr>
                <w:rFonts w:hint="eastAsia" w:ascii="宋体" w:hAnsi="宋体" w:cs="宋体"/>
                <w:snapToGrid w:val="0"/>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期限拟发行5年或3年（具体发行规模和期限由发行人根据发行时的实际需要确定），本次拟申请发行债券所募集资金将用于偿还债务融资工具本息等符合监管要求的用途。</w:t>
            </w:r>
          </w:p>
        </w:tc>
      </w:tr>
      <w:tr w14:paraId="11DA2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93" w:type="dxa"/>
            <w:vAlign w:val="center"/>
          </w:tcPr>
          <w:p w14:paraId="22B2D781">
            <w:pPr>
              <w:snapToGrid w:val="0"/>
              <w:spacing w:line="36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w:t>
            </w:r>
          </w:p>
        </w:tc>
        <w:tc>
          <w:tcPr>
            <w:tcW w:w="1843" w:type="dxa"/>
            <w:vAlign w:val="center"/>
          </w:tcPr>
          <w:p w14:paraId="489315BA">
            <w:pPr>
              <w:snapToGrid w:val="0"/>
              <w:spacing w:line="36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招标范围</w:t>
            </w:r>
          </w:p>
        </w:tc>
        <w:tc>
          <w:tcPr>
            <w:tcW w:w="5811" w:type="dxa"/>
            <w:vAlign w:val="center"/>
          </w:tcPr>
          <w:p w14:paraId="1332EDCE">
            <w:pPr>
              <w:spacing w:line="40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负责组织本次债券申报材料的编制，配合发行人进行债券报批；负责协调各相关中介机构开展与本次债券申报、发行相关的各项工作；负责承销发行本次债券，确保发行成本；负责本次债券存续期相关服务工作；负责其他债券申报和发行工作中的相关事宜。</w:t>
            </w:r>
          </w:p>
        </w:tc>
      </w:tr>
      <w:tr w14:paraId="3E52C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93" w:type="dxa"/>
            <w:vAlign w:val="center"/>
          </w:tcPr>
          <w:p w14:paraId="6F702A47">
            <w:pPr>
              <w:snapToGrid w:val="0"/>
              <w:spacing w:line="36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w:t>
            </w:r>
          </w:p>
        </w:tc>
        <w:tc>
          <w:tcPr>
            <w:tcW w:w="1843" w:type="dxa"/>
            <w:vAlign w:val="center"/>
          </w:tcPr>
          <w:p w14:paraId="7067CD1D">
            <w:pPr>
              <w:snapToGrid w:val="0"/>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是否接受联合体投标</w:t>
            </w:r>
          </w:p>
        </w:tc>
        <w:tc>
          <w:tcPr>
            <w:tcW w:w="5811" w:type="dxa"/>
            <w:vAlign w:val="center"/>
          </w:tcPr>
          <w:p w14:paraId="59D47DD9">
            <w:pPr>
              <w:spacing w:line="320" w:lineRule="exac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否</w:t>
            </w:r>
          </w:p>
        </w:tc>
      </w:tr>
      <w:tr w14:paraId="70E7E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993" w:type="dxa"/>
            <w:vAlign w:val="center"/>
          </w:tcPr>
          <w:p w14:paraId="687C8D20">
            <w:pPr>
              <w:snapToGrid w:val="0"/>
              <w:spacing w:line="36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1.4</w:t>
            </w:r>
          </w:p>
        </w:tc>
        <w:tc>
          <w:tcPr>
            <w:tcW w:w="1843" w:type="dxa"/>
            <w:vAlign w:val="center"/>
          </w:tcPr>
          <w:p w14:paraId="02B2B6E0">
            <w:pPr>
              <w:snapToGrid w:val="0"/>
              <w:spacing w:line="36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投标人资质条件、能力和信誉</w:t>
            </w:r>
          </w:p>
        </w:tc>
        <w:tc>
          <w:tcPr>
            <w:tcW w:w="5811" w:type="dxa"/>
            <w:vAlign w:val="center"/>
          </w:tcPr>
          <w:p w14:paraId="4E31FCE3">
            <w:pPr>
              <w:autoSpaceDE w:val="0"/>
              <w:autoSpaceDN w:val="0"/>
              <w:adjustRightInd w:val="0"/>
              <w:spacing w:line="40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1.营业执照：具有工商行政管理部门颁发的有效营业执照（须提供最新的有效营业执照副本复印件）。</w:t>
            </w:r>
          </w:p>
          <w:p w14:paraId="4C54171D">
            <w:pPr>
              <w:spacing w:line="400" w:lineRule="exact"/>
              <w:ind w:firstLine="420" w:firstLineChars="200"/>
              <w:rPr>
                <w:rFonts w:hint="eastAsia" w:ascii="宋体" w:hAnsi="宋体"/>
                <w:snapToGrid w:val="0"/>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2.提供证明具备</w:t>
            </w:r>
            <w:r>
              <w:rPr>
                <w:rFonts w:hint="eastAsia" w:ascii="宋体" w:hAnsi="宋体"/>
                <w:snapToGrid w:val="0"/>
                <w:color w:val="000000" w:themeColor="text1"/>
                <w:szCs w:val="21"/>
                <w:highlight w:val="none"/>
                <w14:textFill>
                  <w14:solidFill>
                    <w14:schemeClr w14:val="tx1"/>
                  </w14:solidFill>
                </w14:textFill>
              </w:rPr>
              <w:t>非金融企业债务融资工具一般主承销商资格有效资质的复印件。</w:t>
            </w:r>
          </w:p>
          <w:p w14:paraId="7A9CBB77">
            <w:pPr>
              <w:autoSpaceDE w:val="0"/>
              <w:autoSpaceDN w:val="0"/>
              <w:adjustRightInd w:val="0"/>
              <w:spacing w:line="40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提供本次债券承销服务工作方案，至少包括发行工作时间安排、审批时间预计、承销费及其他相关费用报价（其中，发债所需的律师费、评级费由发行人自行承担或由中标金融机构承担应说明清楚；若中标金融机构愿意承担发债所需律师费、评级费，则应说明“</w:t>
            </w:r>
            <w:r>
              <w:rPr>
                <w:rFonts w:hint="eastAsia" w:ascii="宋体" w:hAnsi="宋体" w:cs="宋体"/>
                <w:color w:val="000000" w:themeColor="text1"/>
                <w:kern w:val="0"/>
                <w:szCs w:val="21"/>
                <w:highlight w:val="none"/>
                <w:lang w:val="en-US" w:eastAsia="zh-CN"/>
                <w14:textFill>
                  <w14:solidFill>
                    <w14:schemeClr w14:val="tx1"/>
                  </w14:solidFill>
                </w14:textFill>
              </w:rPr>
              <w:t>XX</w:t>
            </w:r>
            <w:r>
              <w:rPr>
                <w:rFonts w:hint="eastAsia" w:ascii="宋体" w:hAnsi="宋体" w:cs="宋体"/>
                <w:color w:val="000000" w:themeColor="text1"/>
                <w:kern w:val="0"/>
                <w:szCs w:val="21"/>
                <w:highlight w:val="none"/>
                <w14:textFill>
                  <w14:solidFill>
                    <w14:schemeClr w14:val="tx1"/>
                  </w14:solidFill>
                </w14:textFill>
              </w:rPr>
              <w:t>律师事务所、</w:t>
            </w:r>
            <w:r>
              <w:rPr>
                <w:rFonts w:hint="eastAsia" w:ascii="宋体" w:hAnsi="宋体" w:cs="宋体"/>
                <w:color w:val="000000" w:themeColor="text1"/>
                <w:kern w:val="0"/>
                <w:szCs w:val="21"/>
                <w:highlight w:val="none"/>
                <w:lang w:val="en-US" w:eastAsia="zh-CN"/>
                <w14:textFill>
                  <w14:solidFill>
                    <w14:schemeClr w14:val="tx1"/>
                  </w14:solidFill>
                </w14:textFill>
              </w:rPr>
              <w:t>XX</w:t>
            </w:r>
            <w:r>
              <w:rPr>
                <w:rFonts w:hint="eastAsia" w:ascii="宋体" w:hAnsi="宋体" w:cs="宋体"/>
                <w:color w:val="000000" w:themeColor="text1"/>
                <w:kern w:val="0"/>
                <w:szCs w:val="21"/>
                <w:highlight w:val="none"/>
                <w14:textFill>
                  <w14:solidFill>
                    <w14:schemeClr w14:val="tx1"/>
                  </w14:solidFill>
                </w14:textFill>
              </w:rPr>
              <w:t>评级公司因发债所需的律师费、评级费包含在承销费率报价中</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由发行人单独与律所、评级机构签署聘用协议，并向律所、评级机构支付费用”。），债券包销方案及发行计划，投标人安排的本次债券发行团队构成，对后续服务的安排、承诺及支持程度</w:t>
            </w:r>
            <w:r>
              <w:rPr>
                <w:rFonts w:hint="eastAsia" w:ascii="宋体" w:hAnsi="宋体"/>
                <w:snapToGrid w:val="0"/>
                <w:color w:val="000000" w:themeColor="text1"/>
                <w:szCs w:val="21"/>
                <w:highlight w:val="none"/>
                <w14:textFill>
                  <w14:solidFill>
                    <w14:schemeClr w14:val="tx1"/>
                  </w14:solidFill>
                </w14:textFill>
              </w:rPr>
              <w:t>。</w:t>
            </w:r>
          </w:p>
          <w:p w14:paraId="03329110">
            <w:pPr>
              <w:autoSpaceDE w:val="0"/>
              <w:autoSpaceDN w:val="0"/>
              <w:adjustRightInd w:val="0"/>
              <w:spacing w:line="40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提供由投标人自行拟定的不存在投标人资格要求中负面情形（如：</w:t>
            </w:r>
            <w:r>
              <w:rPr>
                <w:rFonts w:hint="eastAsia" w:ascii="宋体" w:hAnsi="宋体"/>
                <w:snapToGrid w:val="0"/>
                <w:color w:val="000000" w:themeColor="text1"/>
                <w:szCs w:val="21"/>
                <w:highlight w:val="none"/>
                <w14:textFill>
                  <w14:solidFill>
                    <w14:schemeClr w14:val="tx1"/>
                  </w14:solidFill>
                </w14:textFill>
              </w:rPr>
              <w:t>近三年在经</w:t>
            </w:r>
            <w:r>
              <w:rPr>
                <w:rFonts w:hint="eastAsia" w:ascii="宋体" w:hAnsi="宋体" w:cs="宋体"/>
                <w:color w:val="000000" w:themeColor="text1"/>
                <w:kern w:val="0"/>
                <w:szCs w:val="21"/>
                <w:highlight w:val="none"/>
                <w14:textFill>
                  <w14:solidFill>
                    <w14:schemeClr w14:val="tx1"/>
                  </w14:solidFill>
                </w14:textFill>
              </w:rPr>
              <w:t>营活动中没有重大违法记录或失信记录；没有受到过监管部门严重行政处罚并暂停债券发行相关业务，报名或参加比选时仍在处罚期内等）的</w:t>
            </w:r>
            <w:r>
              <w:rPr>
                <w:rFonts w:hint="eastAsia" w:ascii="宋体" w:hAnsi="宋体"/>
                <w:snapToGrid w:val="0"/>
                <w:color w:val="000000" w:themeColor="text1"/>
                <w:szCs w:val="21"/>
                <w:highlight w:val="none"/>
                <w14:textFill>
                  <w14:solidFill>
                    <w14:schemeClr w14:val="tx1"/>
                  </w14:solidFill>
                </w14:textFill>
              </w:rPr>
              <w:t>盖章说明文件。</w:t>
            </w:r>
          </w:p>
          <w:p w14:paraId="28C05682">
            <w:pPr>
              <w:pStyle w:val="4"/>
              <w:spacing w:line="440" w:lineRule="exact"/>
              <w:ind w:firstLine="420" w:firstLineChars="200"/>
              <w:rPr>
                <w:rFonts w:hint="eastAsia" w:eastAsia="宋体"/>
                <w:color w:val="000000" w:themeColor="text1"/>
                <w:highlight w:val="none"/>
                <w:lang w:eastAsia="zh-CN"/>
                <w14:textFill>
                  <w14:solidFill>
                    <w14:schemeClr w14:val="tx1"/>
                  </w14:solidFill>
                </w14:textFill>
              </w:rPr>
            </w:pPr>
            <w:r>
              <w:rPr>
                <w:rFonts w:hint="eastAsia" w:ascii="宋体" w:hAnsi="宋体" w:eastAsia="宋体" w:cs="Times New Roman"/>
                <w:b w:val="0"/>
                <w:snapToGrid w:val="0"/>
                <w:color w:val="000000" w:themeColor="text1"/>
                <w:kern w:val="2"/>
                <w:sz w:val="21"/>
                <w:szCs w:val="21"/>
                <w:highlight w:val="none"/>
                <w:lang w:val="en-US" w:eastAsia="zh-CN"/>
                <w14:textFill>
                  <w14:solidFill>
                    <w14:schemeClr w14:val="tx1"/>
                  </w14:solidFill>
                </w14:textFill>
              </w:rPr>
              <w:t>5</w:t>
            </w:r>
            <w:r>
              <w:rPr>
                <w:rFonts w:ascii="宋体" w:hAnsi="宋体" w:eastAsia="宋体" w:cs="Times New Roman"/>
                <w:b w:val="0"/>
                <w:snapToGrid w:val="0"/>
                <w:color w:val="000000" w:themeColor="text1"/>
                <w:kern w:val="2"/>
                <w:sz w:val="21"/>
                <w:szCs w:val="21"/>
                <w:highlight w:val="none"/>
                <w14:textFill>
                  <w14:solidFill>
                    <w14:schemeClr w14:val="tx1"/>
                  </w14:solidFill>
                </w14:textFill>
              </w:rPr>
              <w:t>.</w:t>
            </w:r>
            <w:r>
              <w:rPr>
                <w:rFonts w:hint="eastAsia" w:ascii="宋体" w:hAnsi="宋体" w:eastAsia="宋体" w:cs="宋体"/>
                <w:b w:val="0"/>
                <w:color w:val="000000" w:themeColor="text1"/>
                <w:sz w:val="21"/>
                <w:szCs w:val="21"/>
                <w:highlight w:val="none"/>
                <w14:textFill>
                  <w14:solidFill>
                    <w14:schemeClr w14:val="tx1"/>
                  </w14:solidFill>
                </w14:textFill>
              </w:rPr>
              <w:t>须提供同意以下事项的盖章承诺：“本金融机构承诺，本金融机构作为主承销商愿对本次债券承担余额包销责任，在与发行人就发行窗口及发行利率区间达成一致的前提下，按照承销协议签订的余额包销比例对本次债券承担余额包销责任；承销费率原则为按年支付；本次债券发行为信用发行</w:t>
            </w:r>
            <w:r>
              <w:rPr>
                <w:rFonts w:hint="eastAsia" w:ascii="宋体" w:hAnsi="宋体" w:eastAsia="宋体" w:cs="宋体"/>
                <w:b w:val="0"/>
                <w:color w:val="000000" w:themeColor="text1"/>
                <w:kern w:val="2"/>
                <w:sz w:val="21"/>
                <w:szCs w:val="21"/>
                <w:highlight w:val="none"/>
                <w14:textFill>
                  <w14:solidFill>
                    <w14:schemeClr w14:val="tx1"/>
                  </w14:solidFill>
                </w14:textFill>
              </w:rPr>
              <w:t>。</w:t>
            </w:r>
            <w:r>
              <w:rPr>
                <w:rFonts w:hint="eastAsia" w:ascii="宋体" w:hAnsi="宋体" w:eastAsia="宋体" w:cs="宋体"/>
                <w:b w:val="0"/>
                <w:color w:val="000000" w:themeColor="text1"/>
                <w:kern w:val="2"/>
                <w:sz w:val="21"/>
                <w:szCs w:val="21"/>
                <w:highlight w:val="none"/>
                <w:lang w:eastAsia="zh-CN"/>
                <w14:textFill>
                  <w14:solidFill>
                    <w14:schemeClr w14:val="tx1"/>
                  </w14:solidFill>
                </w14:textFill>
              </w:rPr>
              <w:t>”</w:t>
            </w:r>
          </w:p>
          <w:p w14:paraId="3104FD08">
            <w:pPr>
              <w:pStyle w:val="4"/>
              <w:spacing w:line="440" w:lineRule="exact"/>
              <w:ind w:firstLine="420" w:firstLineChars="200"/>
              <w:rPr>
                <w:rFonts w:hint="eastAsia" w:ascii="宋体" w:hAnsi="宋体" w:eastAsia="宋体" w:cs="Times New Roman"/>
                <w:b w:val="0"/>
                <w:snapToGrid w:val="0"/>
                <w:color w:val="000000" w:themeColor="text1"/>
                <w:kern w:val="2"/>
                <w:sz w:val="21"/>
                <w:szCs w:val="21"/>
                <w:highlight w:val="none"/>
                <w14:textFill>
                  <w14:solidFill>
                    <w14:schemeClr w14:val="tx1"/>
                  </w14:solidFill>
                </w14:textFill>
              </w:rPr>
            </w:pPr>
            <w:r>
              <w:rPr>
                <w:rFonts w:hint="eastAsia" w:ascii="宋体" w:hAnsi="宋体" w:eastAsia="宋体" w:cs="Times New Roman"/>
                <w:b w:val="0"/>
                <w:snapToGrid w:val="0"/>
                <w:color w:val="000000" w:themeColor="text1"/>
                <w:kern w:val="2"/>
                <w:sz w:val="21"/>
                <w:szCs w:val="21"/>
                <w:highlight w:val="none"/>
                <w:lang w:val="en-US" w:eastAsia="zh-CN"/>
                <w14:textFill>
                  <w14:solidFill>
                    <w14:schemeClr w14:val="tx1"/>
                  </w14:solidFill>
                </w14:textFill>
              </w:rPr>
              <w:t>6</w:t>
            </w:r>
            <w:r>
              <w:rPr>
                <w:rFonts w:hint="eastAsia" w:ascii="宋体" w:hAnsi="宋体" w:eastAsia="宋体" w:cs="Times New Roman"/>
                <w:b w:val="0"/>
                <w:snapToGrid w:val="0"/>
                <w:color w:val="000000" w:themeColor="text1"/>
                <w:kern w:val="2"/>
                <w:sz w:val="21"/>
                <w:szCs w:val="21"/>
                <w:highlight w:val="none"/>
                <w14:textFill>
                  <w14:solidFill>
                    <w14:schemeClr w14:val="tx1"/>
                  </w14:solidFill>
                </w14:textFill>
              </w:rPr>
              <w:t>.</w:t>
            </w:r>
            <w:r>
              <w:rPr>
                <w:rFonts w:hint="eastAsia" w:ascii="宋体" w:hAnsi="宋体" w:eastAsia="宋体" w:cs="Times New Roman"/>
                <w:b w:val="0"/>
                <w:snapToGrid w:val="0"/>
                <w:color w:val="000000" w:themeColor="text1"/>
                <w:kern w:val="2"/>
                <w:sz w:val="21"/>
                <w:szCs w:val="21"/>
                <w:highlight w:val="none"/>
                <w:lang w:val="en-US" w:eastAsia="zh-CN"/>
                <w14:textFill>
                  <w14:solidFill>
                    <w14:schemeClr w14:val="tx1"/>
                  </w14:solidFill>
                </w14:textFill>
              </w:rPr>
              <w:t>附件1《</w:t>
            </w:r>
            <w:r>
              <w:rPr>
                <w:rFonts w:hint="eastAsia" w:ascii="宋体" w:hAnsi="宋体" w:eastAsia="宋体" w:cs="Times New Roman"/>
                <w:b w:val="0"/>
                <w:snapToGrid w:val="0"/>
                <w:color w:val="000000" w:themeColor="text1"/>
                <w:kern w:val="2"/>
                <w:sz w:val="21"/>
                <w:szCs w:val="21"/>
                <w:highlight w:val="none"/>
                <w14:textFill>
                  <w14:solidFill>
                    <w14:schemeClr w14:val="tx1"/>
                  </w14:solidFill>
                </w14:textFill>
              </w:rPr>
              <w:t>中国银行间市场交易商协会债券承销机构（单独投标人）评分表</w:t>
            </w:r>
            <w:r>
              <w:rPr>
                <w:rFonts w:hint="eastAsia" w:ascii="宋体" w:hAnsi="宋体" w:eastAsia="宋体" w:cs="Times New Roman"/>
                <w:b w:val="0"/>
                <w:snapToGrid w:val="0"/>
                <w:color w:val="000000" w:themeColor="text1"/>
                <w:kern w:val="2"/>
                <w:sz w:val="21"/>
                <w:szCs w:val="21"/>
                <w:highlight w:val="none"/>
                <w:lang w:eastAsia="zh-CN"/>
                <w14:textFill>
                  <w14:solidFill>
                    <w14:schemeClr w14:val="tx1"/>
                  </w14:solidFill>
                </w14:textFill>
              </w:rPr>
              <w:t>》</w:t>
            </w:r>
            <w:r>
              <w:rPr>
                <w:rFonts w:hint="eastAsia" w:ascii="宋体" w:hAnsi="宋体" w:eastAsia="宋体" w:cs="Times New Roman"/>
                <w:b w:val="0"/>
                <w:snapToGrid w:val="0"/>
                <w:color w:val="000000" w:themeColor="text1"/>
                <w:kern w:val="2"/>
                <w:sz w:val="21"/>
                <w:szCs w:val="21"/>
                <w:highlight w:val="none"/>
                <w:lang w:val="en-US" w:eastAsia="zh-CN"/>
                <w14:textFill>
                  <w14:solidFill>
                    <w14:schemeClr w14:val="tx1"/>
                  </w14:solidFill>
                </w14:textFill>
              </w:rPr>
              <w:t>中要求提供的</w:t>
            </w:r>
            <w:r>
              <w:rPr>
                <w:rFonts w:hint="eastAsia" w:ascii="宋体" w:hAnsi="宋体" w:eastAsia="宋体" w:cs="Times New Roman"/>
                <w:b w:val="0"/>
                <w:snapToGrid w:val="0"/>
                <w:color w:val="000000" w:themeColor="text1"/>
                <w:kern w:val="2"/>
                <w:sz w:val="21"/>
                <w:szCs w:val="21"/>
                <w:highlight w:val="none"/>
                <w14:textFill>
                  <w14:solidFill>
                    <w14:schemeClr w14:val="tx1"/>
                  </w14:solidFill>
                </w14:textFill>
              </w:rPr>
              <w:t>其他印证材料。</w:t>
            </w:r>
          </w:p>
          <w:p w14:paraId="0CFA4C80">
            <w:pPr>
              <w:autoSpaceDE w:val="0"/>
              <w:autoSpaceDN w:val="0"/>
              <w:adjustRightInd w:val="0"/>
              <w:spacing w:line="400" w:lineRule="exact"/>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7</w:t>
            </w:r>
            <w:r>
              <w:rPr>
                <w:rFonts w:hint="eastAsia" w:ascii="宋体" w:hAnsi="宋体" w:cs="宋体"/>
                <w:color w:val="000000" w:themeColor="text1"/>
                <w:kern w:val="0"/>
                <w:szCs w:val="21"/>
                <w:highlight w:val="none"/>
                <w14:textFill>
                  <w14:solidFill>
                    <w14:schemeClr w14:val="tx1"/>
                  </w14:solidFill>
                </w14:textFill>
              </w:rPr>
              <w:t>.本次比选所提供的相关资料均应加盖企业公章，参选人须对所提供材料的真实有效性承担法律责任。</w:t>
            </w:r>
          </w:p>
        </w:tc>
      </w:tr>
      <w:tr w14:paraId="146A9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14:paraId="34BED0AB">
            <w:pPr>
              <w:snapToGrid w:val="0"/>
              <w:spacing w:line="36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2.1</w:t>
            </w:r>
          </w:p>
        </w:tc>
        <w:tc>
          <w:tcPr>
            <w:tcW w:w="1843" w:type="dxa"/>
            <w:vAlign w:val="center"/>
          </w:tcPr>
          <w:p w14:paraId="4AE74084">
            <w:pPr>
              <w:snapToGrid w:val="0"/>
              <w:spacing w:line="36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构成招标文件的其他材料</w:t>
            </w:r>
          </w:p>
        </w:tc>
        <w:tc>
          <w:tcPr>
            <w:tcW w:w="5811" w:type="dxa"/>
            <w:vAlign w:val="center"/>
          </w:tcPr>
          <w:p w14:paraId="03B6FE20">
            <w:pPr>
              <w:snapToGrid w:val="0"/>
              <w:spacing w:line="36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随</w:t>
            </w:r>
            <w:r>
              <w:rPr>
                <w:rFonts w:ascii="宋体" w:hAnsi="宋体" w:cs="宋体"/>
                <w:color w:val="000000" w:themeColor="text1"/>
                <w:szCs w:val="21"/>
                <w:highlight w:val="none"/>
                <w14:textFill>
                  <w14:solidFill>
                    <w14:schemeClr w14:val="tx1"/>
                  </w14:solidFill>
                </w14:textFill>
              </w:rPr>
              <w:t>招标文件一并发布的</w:t>
            </w:r>
            <w:r>
              <w:rPr>
                <w:rFonts w:hint="eastAsia" w:ascii="宋体" w:hAnsi="宋体" w:cs="宋体"/>
                <w:color w:val="000000" w:themeColor="text1"/>
                <w:szCs w:val="21"/>
                <w:highlight w:val="none"/>
                <w14:textFill>
                  <w14:solidFill>
                    <w14:schemeClr w14:val="tx1"/>
                  </w14:solidFill>
                </w14:textFill>
              </w:rPr>
              <w:t>资料、招标人发出的答疑、补遗等。</w:t>
            </w:r>
          </w:p>
        </w:tc>
      </w:tr>
      <w:tr w14:paraId="3611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14:paraId="2C4673F7">
            <w:pPr>
              <w:snapToGrid w:val="0"/>
              <w:spacing w:line="360" w:lineRule="auto"/>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3.1</w:t>
            </w:r>
          </w:p>
        </w:tc>
        <w:tc>
          <w:tcPr>
            <w:tcW w:w="1843" w:type="dxa"/>
            <w:vAlign w:val="center"/>
          </w:tcPr>
          <w:p w14:paraId="44F61966">
            <w:pPr>
              <w:snapToGrid w:val="0"/>
              <w:spacing w:line="360" w:lineRule="auto"/>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投标有效期</w:t>
            </w:r>
          </w:p>
        </w:tc>
        <w:tc>
          <w:tcPr>
            <w:tcW w:w="5811" w:type="dxa"/>
            <w:vAlign w:val="center"/>
          </w:tcPr>
          <w:p w14:paraId="275D7471">
            <w:pPr>
              <w:snapToGrid w:val="0"/>
              <w:spacing w:line="440" w:lineRule="exact"/>
              <w:ind w:firstLine="420" w:firstLineChars="2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90</w:t>
            </w:r>
            <w:r>
              <w:rPr>
                <w:rFonts w:hint="eastAsia" w:ascii="宋体" w:hAnsi="宋体" w:cs="宋体"/>
                <w:color w:val="000000" w:themeColor="text1"/>
                <w:szCs w:val="21"/>
                <w:highlight w:val="none"/>
                <w14:textFill>
                  <w14:solidFill>
                    <w14:schemeClr w14:val="tx1"/>
                  </w14:solidFill>
                </w14:textFill>
              </w:rPr>
              <w:t>日历天（从提交投标文件截止日起计算）</w:t>
            </w:r>
          </w:p>
        </w:tc>
      </w:tr>
      <w:tr w14:paraId="690D4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14:paraId="4ACCC94B">
            <w:pPr>
              <w:snapToGrid w:val="0"/>
              <w:spacing w:line="360" w:lineRule="auto"/>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4.1</w:t>
            </w:r>
          </w:p>
        </w:tc>
        <w:tc>
          <w:tcPr>
            <w:tcW w:w="1843" w:type="dxa"/>
            <w:vAlign w:val="center"/>
          </w:tcPr>
          <w:p w14:paraId="756F5F78">
            <w:pPr>
              <w:pStyle w:val="71"/>
              <w:spacing w:line="360" w:lineRule="auto"/>
              <w:jc w:val="center"/>
              <w:rPr>
                <w:rFonts w:hint="eastAsia" w:cs="宋体"/>
                <w:color w:val="000000" w:themeColor="text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资格审查资料</w:t>
            </w:r>
          </w:p>
        </w:tc>
        <w:tc>
          <w:tcPr>
            <w:tcW w:w="5811" w:type="dxa"/>
            <w:vAlign w:val="center"/>
          </w:tcPr>
          <w:p w14:paraId="099E5BB6">
            <w:pPr>
              <w:snapToGrid w:val="0"/>
              <w:spacing w:line="44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本须知1.4项规定提供的资料均需完整。</w:t>
            </w:r>
          </w:p>
        </w:tc>
      </w:tr>
      <w:tr w14:paraId="4FCA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14:paraId="6BDCA345">
            <w:pPr>
              <w:snapToGrid w:val="0"/>
              <w:spacing w:line="360" w:lineRule="auto"/>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5.1.1</w:t>
            </w:r>
          </w:p>
        </w:tc>
        <w:tc>
          <w:tcPr>
            <w:tcW w:w="1843" w:type="dxa"/>
            <w:vAlign w:val="center"/>
          </w:tcPr>
          <w:p w14:paraId="44202231">
            <w:pPr>
              <w:snapToGrid w:val="0"/>
              <w:spacing w:line="360" w:lineRule="auto"/>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投标文件的份数</w:t>
            </w:r>
          </w:p>
        </w:tc>
        <w:tc>
          <w:tcPr>
            <w:tcW w:w="5811" w:type="dxa"/>
            <w:vAlign w:val="center"/>
          </w:tcPr>
          <w:p w14:paraId="6DEDF546">
            <w:pPr>
              <w:autoSpaceDE w:val="0"/>
              <w:autoSpaceDN w:val="0"/>
              <w:adjustRightInd w:val="0"/>
              <w:spacing w:line="440" w:lineRule="exact"/>
              <w:ind w:firstLine="420" w:firstLineChars="200"/>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投标文件由</w:t>
            </w:r>
            <w:r>
              <w:rPr>
                <w:rFonts w:hint="eastAsia"/>
                <w:color w:val="000000" w:themeColor="text1"/>
                <w:highlight w:val="none"/>
                <w:lang w:val="en-US" w:eastAsia="zh-CN"/>
                <w14:textFill>
                  <w14:solidFill>
                    <w14:schemeClr w14:val="tx1"/>
                  </w14:solidFill>
                </w14:textFill>
              </w:rPr>
              <w:t>以下两部分组成（可以合并装订）</w:t>
            </w:r>
            <w:r>
              <w:rPr>
                <w:rFonts w:hint="eastAsia"/>
                <w:color w:val="000000" w:themeColor="text1"/>
                <w:highlight w:val="none"/>
                <w:lang w:eastAsia="zh-CN"/>
                <w14:textFill>
                  <w14:solidFill>
                    <w14:schemeClr w14:val="tx1"/>
                  </w14:solidFill>
                </w14:textFill>
              </w:rPr>
              <w:t>：</w:t>
            </w:r>
          </w:p>
          <w:p w14:paraId="1901934C">
            <w:pPr>
              <w:autoSpaceDE w:val="0"/>
              <w:autoSpaceDN w:val="0"/>
              <w:adjustRightInd w:val="0"/>
              <w:spacing w:line="440" w:lineRule="exact"/>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.投标函</w:t>
            </w:r>
            <w:r>
              <w:rPr>
                <w:rFonts w:hint="eastAsia"/>
                <w:color w:val="000000" w:themeColor="text1"/>
                <w:highlight w:val="none"/>
                <w:lang w:eastAsia="zh-CN"/>
                <w14:textFill>
                  <w14:solidFill>
                    <w14:schemeClr w14:val="tx1"/>
                  </w14:solidFill>
                </w14:textFill>
              </w:rPr>
              <w:t>、</w:t>
            </w:r>
            <w:r>
              <w:rPr>
                <w:rFonts w:hint="eastAsia" w:ascii="Times New Roman" w:hAnsi="Times New Roman" w:cs="Times New Roman"/>
                <w:b w:val="0"/>
                <w:color w:val="000000" w:themeColor="text1"/>
                <w:kern w:val="2"/>
                <w:sz w:val="21"/>
                <w:highlight w:val="none"/>
                <w14:textFill>
                  <w14:solidFill>
                    <w14:schemeClr w14:val="tx1"/>
                  </w14:solidFill>
                </w14:textFill>
              </w:rPr>
              <w:t>授权委托书</w:t>
            </w:r>
            <w:r>
              <w:rPr>
                <w:rFonts w:hint="eastAsia"/>
                <w:color w:val="000000" w:themeColor="text1"/>
                <w:highlight w:val="none"/>
                <w14:textFill>
                  <w14:solidFill>
                    <w14:schemeClr w14:val="tx1"/>
                  </w14:solidFill>
                </w14:textFill>
              </w:rPr>
              <w:t>部分</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一式1份。</w:t>
            </w:r>
          </w:p>
          <w:p w14:paraId="5A15BF9E">
            <w:pPr>
              <w:autoSpaceDE w:val="0"/>
              <w:autoSpaceDN w:val="0"/>
              <w:adjustRightInd w:val="0"/>
              <w:spacing w:line="440" w:lineRule="exact"/>
              <w:ind w:firstLine="420" w:firstLineChars="200"/>
              <w:rPr>
                <w:rFonts w:eastAsia="仿宋_GB2312"/>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2.资格审查资料：一式1份。</w:t>
            </w:r>
          </w:p>
        </w:tc>
      </w:tr>
      <w:tr w14:paraId="08EC2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14:paraId="2F4F65B3">
            <w:pPr>
              <w:snapToGrid w:val="0"/>
              <w:spacing w:line="360" w:lineRule="auto"/>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5.1.2</w:t>
            </w:r>
          </w:p>
        </w:tc>
        <w:tc>
          <w:tcPr>
            <w:tcW w:w="1843" w:type="dxa"/>
            <w:vAlign w:val="center"/>
          </w:tcPr>
          <w:p w14:paraId="1C2E714D">
            <w:pPr>
              <w:snapToGrid w:val="0"/>
              <w:spacing w:line="360" w:lineRule="auto"/>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投标文件的密封</w:t>
            </w:r>
          </w:p>
        </w:tc>
        <w:tc>
          <w:tcPr>
            <w:tcW w:w="5811" w:type="dxa"/>
            <w:vAlign w:val="center"/>
          </w:tcPr>
          <w:p w14:paraId="12FE5481">
            <w:pPr>
              <w:spacing w:line="440" w:lineRule="exact"/>
              <w:ind w:firstLine="422" w:firstLineChars="201"/>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1.投标文件袋由投标人自行制作，但必须在封套上注明“投标文件”大袋，密封并在袋上加盖投标人单位公章。</w:t>
            </w:r>
          </w:p>
          <w:p w14:paraId="31442D28">
            <w:pPr>
              <w:autoSpaceDE w:val="0"/>
              <w:autoSpaceDN w:val="0"/>
              <w:adjustRightInd w:val="0"/>
              <w:spacing w:line="44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2.如果投标文件没有按上述规定密封，该投标文件将被拒绝接收。</w:t>
            </w:r>
          </w:p>
          <w:p w14:paraId="396549D6">
            <w:pPr>
              <w:spacing w:line="44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3.如若资料较厚，可以增加相应的袋子，标明序号即可。</w:t>
            </w:r>
          </w:p>
        </w:tc>
      </w:tr>
      <w:tr w14:paraId="162C6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14:paraId="0B6F84C9">
            <w:pPr>
              <w:snapToGrid w:val="0"/>
              <w:spacing w:line="360" w:lineRule="auto"/>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5.1.3</w:t>
            </w:r>
          </w:p>
        </w:tc>
        <w:tc>
          <w:tcPr>
            <w:tcW w:w="1843" w:type="dxa"/>
            <w:vAlign w:val="center"/>
          </w:tcPr>
          <w:p w14:paraId="1360A78C">
            <w:pPr>
              <w:snapToGrid w:val="0"/>
              <w:spacing w:line="360" w:lineRule="auto"/>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封套上写明</w:t>
            </w:r>
          </w:p>
        </w:tc>
        <w:tc>
          <w:tcPr>
            <w:tcW w:w="5811" w:type="dxa"/>
            <w:vAlign w:val="center"/>
          </w:tcPr>
          <w:p w14:paraId="1463D2BC">
            <w:pPr>
              <w:snapToGrid w:val="0"/>
              <w:spacing w:line="440" w:lineRule="exact"/>
              <w:rPr>
                <w:rFonts w:hint="eastAsia" w:ascii="宋体" w:hAnsi="宋体" w:cs="宋体"/>
                <w:color w:val="000000" w:themeColor="text1"/>
                <w:kern w:val="0"/>
                <w:szCs w:val="21"/>
                <w:highlight w:val="none"/>
                <w14:textFill>
                  <w14:solidFill>
                    <w14:schemeClr w14:val="tx1"/>
                  </w14:solidFill>
                </w14:textFill>
              </w:rPr>
            </w:pPr>
            <w:bookmarkStart w:id="23" w:name="_Hlt198772975"/>
            <w:bookmarkEnd w:id="23"/>
            <w:r>
              <w:rPr>
                <w:rFonts w:hint="eastAsia" w:ascii="宋体" w:hAnsi="宋体" w:cs="宋体"/>
                <w:color w:val="000000" w:themeColor="text1"/>
                <w:kern w:val="0"/>
                <w:szCs w:val="21"/>
                <w:highlight w:val="none"/>
                <w14:textFill>
                  <w14:solidFill>
                    <w14:schemeClr w14:val="tx1"/>
                  </w14:solidFill>
                </w14:textFill>
              </w:rPr>
              <w:t>应在“投标文件”袋封套上写明如下内容：</w:t>
            </w:r>
            <w:r>
              <w:rPr>
                <w:rFonts w:hint="eastAsia" w:ascii="宋体" w:hAnsi="宋体" w:cs="宋体"/>
                <w:color w:val="000000" w:themeColor="text1"/>
                <w:kern w:val="0"/>
                <w:szCs w:val="21"/>
                <w:highlight w:val="none"/>
                <w:lang w:eastAsia="zh-CN"/>
                <w14:textFill>
                  <w14:solidFill>
                    <w14:schemeClr w14:val="tx1"/>
                  </w14:solidFill>
                </w14:textFill>
              </w:rPr>
              <w:t>重庆国际物流枢纽园区建设有限责任公司2026年度第二期中期票据</w:t>
            </w:r>
            <w:r>
              <w:rPr>
                <w:rFonts w:hint="eastAsia" w:ascii="宋体" w:hAnsi="宋体" w:cs="宋体"/>
                <w:color w:val="000000" w:themeColor="text1"/>
                <w:kern w:val="0"/>
                <w:szCs w:val="21"/>
                <w:highlight w:val="none"/>
                <w14:textFill>
                  <w14:solidFill>
                    <w14:schemeClr w14:val="tx1"/>
                  </w14:solidFill>
                </w14:textFill>
              </w:rPr>
              <w:t>承销商选聘</w:t>
            </w:r>
          </w:p>
          <w:p w14:paraId="093FF037">
            <w:pPr>
              <w:snapToGrid w:val="0"/>
              <w:spacing w:line="4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在</w:t>
            </w:r>
            <w:r>
              <w:rPr>
                <w:rFonts w:hint="eastAsia" w:ascii="宋体" w:hAnsi="宋体" w:cs="宋体"/>
                <w:color w:val="000000" w:themeColor="text1"/>
                <w:kern w:val="0"/>
                <w:szCs w:val="21"/>
                <w:highlight w:val="none"/>
                <w:u w:val="single"/>
                <w14:textFill>
                  <w14:solidFill>
                    <w14:schemeClr w14:val="tx1"/>
                  </w14:solidFill>
                </w14:textFill>
              </w:rPr>
              <w:t>2026</w:t>
            </w:r>
            <w:r>
              <w:rPr>
                <w:rFonts w:hint="eastAsia" w:ascii="宋体" w:hAnsi="宋体" w:cs="宋体"/>
                <w:color w:val="000000" w:themeColor="text1"/>
                <w:kern w:val="0"/>
                <w:szCs w:val="21"/>
                <w:highlight w:val="none"/>
                <w14:textFill>
                  <w14:solidFill>
                    <w14:schemeClr w14:val="tx1"/>
                  </w14:solidFill>
                </w14:textFill>
              </w:rPr>
              <w:t>年</w:t>
            </w:r>
            <w:r>
              <w:rPr>
                <w:rFonts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6 </w:t>
            </w:r>
            <w:r>
              <w:rPr>
                <w:rFonts w:hint="eastAsia" w:ascii="宋体" w:hAnsi="宋体" w:cs="宋体"/>
                <w:color w:val="000000" w:themeColor="text1"/>
                <w:kern w:val="0"/>
                <w:szCs w:val="21"/>
                <w:highlight w:val="none"/>
                <w14:textFill>
                  <w14:solidFill>
                    <w14:schemeClr w14:val="tx1"/>
                  </w14:solidFill>
                </w14:textFill>
              </w:rPr>
              <w:t>月</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17 </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日</w:t>
            </w:r>
            <w:r>
              <w:rPr>
                <w:rFonts w:hint="eastAsia" w:ascii="宋体" w:hAnsi="宋体" w:cs="宋体"/>
                <w:color w:val="000000" w:themeColor="text1"/>
                <w:kern w:val="0"/>
                <w:szCs w:val="21"/>
                <w:highlight w:val="none"/>
                <w:lang w:val="en-US" w:eastAsia="zh-CN"/>
                <w14:textFill>
                  <w14:solidFill>
                    <w14:schemeClr w14:val="tx1"/>
                  </w14:solidFill>
                </w14:textFill>
              </w:rPr>
              <w:t>10</w:t>
            </w:r>
            <w:r>
              <w:rPr>
                <w:rFonts w:hint="eastAsia" w:ascii="宋体" w:hAnsi="宋体" w:cs="宋体"/>
                <w:color w:val="000000" w:themeColor="text1"/>
                <w:kern w:val="0"/>
                <w:szCs w:val="21"/>
                <w:highlight w:val="none"/>
                <w14:textFill>
                  <w14:solidFill>
                    <w14:schemeClr w14:val="tx1"/>
                  </w14:solidFill>
                </w14:textFill>
              </w:rPr>
              <w:t xml:space="preserve"> 时</w:t>
            </w:r>
            <w:r>
              <w:rPr>
                <w:rFonts w:hint="eastAsia" w:ascii="宋体" w:hAnsi="宋体" w:cs="宋体"/>
                <w:color w:val="000000" w:themeColor="text1"/>
                <w:kern w:val="0"/>
                <w:szCs w:val="21"/>
                <w:highlight w:val="none"/>
                <w:lang w:val="en-US" w:eastAsia="zh-CN"/>
                <w14:textFill>
                  <w14:solidFill>
                    <w14:schemeClr w14:val="tx1"/>
                  </w14:solidFill>
                </w14:textFill>
              </w:rPr>
              <w:t>00</w:t>
            </w:r>
            <w:r>
              <w:rPr>
                <w:rFonts w:hint="eastAsia" w:ascii="宋体" w:hAnsi="宋体" w:cs="宋体"/>
                <w:color w:val="000000" w:themeColor="text1"/>
                <w:kern w:val="0"/>
                <w:szCs w:val="21"/>
                <w:highlight w:val="none"/>
                <w14:textFill>
                  <w14:solidFill>
                    <w14:schemeClr w14:val="tx1"/>
                  </w14:solidFill>
                </w14:textFill>
              </w:rPr>
              <w:t>分（规定的开标时间）前不得开启</w:t>
            </w:r>
          </w:p>
        </w:tc>
      </w:tr>
      <w:tr w14:paraId="3809B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14:paraId="21E685A0">
            <w:pPr>
              <w:snapToGrid w:val="0"/>
              <w:spacing w:line="360" w:lineRule="auto"/>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5.2.1</w:t>
            </w:r>
          </w:p>
        </w:tc>
        <w:tc>
          <w:tcPr>
            <w:tcW w:w="1843" w:type="dxa"/>
            <w:vAlign w:val="center"/>
          </w:tcPr>
          <w:p w14:paraId="0AEFF2E5">
            <w:pPr>
              <w:snapToGrid w:val="0"/>
              <w:spacing w:line="360" w:lineRule="auto"/>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snapToGrid w:val="0"/>
                <w:color w:val="000000" w:themeColor="text1"/>
                <w:szCs w:val="21"/>
                <w:highlight w:val="none"/>
                <w14:textFill>
                  <w14:solidFill>
                    <w14:schemeClr w14:val="tx1"/>
                  </w14:solidFill>
                </w14:textFill>
              </w:rPr>
              <w:t>投标文件递交截止时间</w:t>
            </w:r>
          </w:p>
        </w:tc>
        <w:tc>
          <w:tcPr>
            <w:tcW w:w="5811" w:type="dxa"/>
            <w:vAlign w:val="center"/>
          </w:tcPr>
          <w:p w14:paraId="5BBAC299">
            <w:pPr>
              <w:snapToGrid w:val="0"/>
              <w:spacing w:line="440" w:lineRule="exac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u w:val="single"/>
                <w14:textFill>
                  <w14:solidFill>
                    <w14:schemeClr w14:val="tx1"/>
                  </w14:solidFill>
                </w14:textFill>
              </w:rPr>
              <w:t>2026</w:t>
            </w:r>
            <w:r>
              <w:rPr>
                <w:rFonts w:hint="eastAsia" w:ascii="宋体" w:hAnsi="宋体" w:cs="宋体"/>
                <w:color w:val="000000" w:themeColor="text1"/>
                <w:kern w:val="0"/>
                <w:szCs w:val="21"/>
                <w:highlight w:val="none"/>
                <w14:textFill>
                  <w14:solidFill>
                    <w14:schemeClr w14:val="tx1"/>
                  </w14:solidFill>
                </w14:textFill>
              </w:rPr>
              <w:t>年</w:t>
            </w:r>
            <w:r>
              <w:rPr>
                <w:rFonts w:hint="eastAsia" w:ascii="宋体" w:hAnsi="宋体" w:cs="宋体"/>
                <w:color w:val="000000" w:themeColor="text1"/>
                <w:kern w:val="0"/>
                <w:szCs w:val="21"/>
                <w:highlight w:val="none"/>
                <w:lang w:val="en-US" w:eastAsia="zh-CN"/>
                <w14:textFill>
                  <w14:solidFill>
                    <w14:schemeClr w14:val="tx1"/>
                  </w14:solidFill>
                </w14:textFill>
              </w:rPr>
              <w:t xml:space="preserve">6 </w:t>
            </w:r>
            <w:r>
              <w:rPr>
                <w:rFonts w:hint="eastAsia" w:ascii="宋体" w:hAnsi="宋体" w:cs="宋体"/>
                <w:color w:val="000000" w:themeColor="text1"/>
                <w:kern w:val="0"/>
                <w:szCs w:val="21"/>
                <w:highlight w:val="none"/>
                <w14:textFill>
                  <w14:solidFill>
                    <w14:schemeClr w14:val="tx1"/>
                  </w14:solidFill>
                </w14:textFill>
              </w:rPr>
              <w:t>月</w:t>
            </w:r>
            <w:r>
              <w:rPr>
                <w:rFonts w:hint="eastAsia" w:ascii="宋体" w:hAnsi="宋体" w:cs="宋体"/>
                <w:color w:val="000000" w:themeColor="text1"/>
                <w:kern w:val="0"/>
                <w:szCs w:val="21"/>
                <w:highlight w:val="none"/>
                <w:lang w:val="en-US" w:eastAsia="zh-CN"/>
                <w14:textFill>
                  <w14:solidFill>
                    <w14:schemeClr w14:val="tx1"/>
                  </w14:solidFill>
                </w14:textFill>
              </w:rPr>
              <w:t xml:space="preserve">17 </w:t>
            </w:r>
            <w:r>
              <w:rPr>
                <w:rFonts w:hint="eastAsia" w:ascii="宋体" w:hAnsi="宋体" w:cs="宋体"/>
                <w:color w:val="000000" w:themeColor="text1"/>
                <w:kern w:val="0"/>
                <w:szCs w:val="21"/>
                <w:highlight w:val="none"/>
                <w14:textFill>
                  <w14:solidFill>
                    <w14:schemeClr w14:val="tx1"/>
                  </w14:solidFill>
                </w14:textFill>
              </w:rPr>
              <w:t>日</w:t>
            </w:r>
            <w:r>
              <w:rPr>
                <w:rFonts w:hint="eastAsia" w:ascii="宋体" w:hAnsi="宋体" w:cs="宋体"/>
                <w:color w:val="000000" w:themeColor="text1"/>
                <w:kern w:val="0"/>
                <w:szCs w:val="21"/>
                <w:highlight w:val="none"/>
                <w:lang w:val="en-US" w:eastAsia="zh-CN"/>
                <w14:textFill>
                  <w14:solidFill>
                    <w14:schemeClr w14:val="tx1"/>
                  </w14:solidFill>
                </w14:textFill>
              </w:rPr>
              <w:t>10</w:t>
            </w:r>
            <w:r>
              <w:rPr>
                <w:rFonts w:hint="eastAsia" w:ascii="宋体" w:hAnsi="宋体" w:cs="宋体"/>
                <w:color w:val="000000" w:themeColor="text1"/>
                <w:kern w:val="0"/>
                <w:szCs w:val="21"/>
                <w:highlight w:val="none"/>
                <w14:textFill>
                  <w14:solidFill>
                    <w14:schemeClr w14:val="tx1"/>
                  </w14:solidFill>
                </w14:textFill>
              </w:rPr>
              <w:t xml:space="preserve"> 时</w:t>
            </w:r>
            <w:r>
              <w:rPr>
                <w:rFonts w:hint="eastAsia" w:ascii="宋体" w:hAnsi="宋体" w:cs="宋体"/>
                <w:color w:val="000000" w:themeColor="text1"/>
                <w:kern w:val="0"/>
                <w:szCs w:val="21"/>
                <w:highlight w:val="none"/>
                <w:lang w:val="en-US" w:eastAsia="zh-CN"/>
                <w14:textFill>
                  <w14:solidFill>
                    <w14:schemeClr w14:val="tx1"/>
                  </w14:solidFill>
                </w14:textFill>
              </w:rPr>
              <w:t>00</w:t>
            </w:r>
            <w:r>
              <w:rPr>
                <w:rFonts w:hint="eastAsia" w:ascii="宋体" w:hAnsi="宋体" w:cs="宋体"/>
                <w:color w:val="000000" w:themeColor="text1"/>
                <w:kern w:val="0"/>
                <w:szCs w:val="21"/>
                <w:highlight w:val="none"/>
                <w14:textFill>
                  <w14:solidFill>
                    <w14:schemeClr w14:val="tx1"/>
                  </w14:solidFill>
                </w14:textFill>
              </w:rPr>
              <w:t>分</w:t>
            </w:r>
            <w:r>
              <w:rPr>
                <w:rFonts w:hint="eastAsia" w:ascii="宋体" w:hAnsi="宋体"/>
                <w:color w:val="000000" w:themeColor="text1"/>
                <w:szCs w:val="21"/>
                <w:highlight w:val="none"/>
                <w14:textFill>
                  <w14:solidFill>
                    <w14:schemeClr w14:val="tx1"/>
                  </w14:solidFill>
                </w14:textFill>
              </w:rPr>
              <w:t>。</w:t>
            </w:r>
          </w:p>
        </w:tc>
      </w:tr>
      <w:tr w14:paraId="6A5E0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14:paraId="2C275634">
            <w:pPr>
              <w:snapToGrid w:val="0"/>
              <w:spacing w:line="360" w:lineRule="auto"/>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5.2.2</w:t>
            </w:r>
          </w:p>
        </w:tc>
        <w:tc>
          <w:tcPr>
            <w:tcW w:w="1843" w:type="dxa"/>
            <w:vAlign w:val="center"/>
          </w:tcPr>
          <w:p w14:paraId="422A1DB8">
            <w:pPr>
              <w:snapToGrid w:val="0"/>
              <w:spacing w:line="44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投标文件递交地点</w:t>
            </w:r>
          </w:p>
        </w:tc>
        <w:tc>
          <w:tcPr>
            <w:tcW w:w="5811" w:type="dxa"/>
            <w:vAlign w:val="center"/>
          </w:tcPr>
          <w:p w14:paraId="6D3E289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重庆市沙坪坝区土主镇享通路39号黄金湾智谷B1栋</w:t>
            </w:r>
          </w:p>
          <w:p w14:paraId="10CDE917">
            <w:pPr>
              <w:pStyle w:val="71"/>
              <w:spacing w:line="440" w:lineRule="exact"/>
              <w:jc w:val="both"/>
              <w:rPr>
                <w:rFonts w:hint="eastAsia" w:cs="宋体"/>
                <w:color w:val="000000" w:themeColor="text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重庆国际物流枢纽园区建设有限责任公司238办公室</w:t>
            </w:r>
          </w:p>
        </w:tc>
      </w:tr>
      <w:tr w14:paraId="6A202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14:paraId="511EEE09">
            <w:pPr>
              <w:snapToGrid w:val="0"/>
              <w:spacing w:line="360" w:lineRule="auto"/>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5.2.3</w:t>
            </w:r>
          </w:p>
        </w:tc>
        <w:tc>
          <w:tcPr>
            <w:tcW w:w="1843" w:type="dxa"/>
            <w:vAlign w:val="center"/>
          </w:tcPr>
          <w:p w14:paraId="599DC578">
            <w:pPr>
              <w:snapToGrid w:val="0"/>
              <w:spacing w:line="360" w:lineRule="auto"/>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开标时间和地点</w:t>
            </w:r>
          </w:p>
        </w:tc>
        <w:tc>
          <w:tcPr>
            <w:tcW w:w="5811" w:type="dxa"/>
            <w:vAlign w:val="center"/>
          </w:tcPr>
          <w:p w14:paraId="48AE3E82">
            <w:pPr>
              <w:snapToGrid w:val="0"/>
              <w:spacing w:line="440" w:lineRule="exac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开标时间：同投标截止时间</w:t>
            </w:r>
          </w:p>
          <w:p w14:paraId="41D8A20D">
            <w:pPr>
              <w:rPr>
                <w:rFonts w:hint="eastAsia" w:ascii="宋体" w:hAnsi="宋体" w:cs="宋体"/>
                <w:b/>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开标地点：</w:t>
            </w:r>
            <w:r>
              <w:rPr>
                <w:rFonts w:hint="eastAsia"/>
                <w:color w:val="000000" w:themeColor="text1"/>
                <w:highlight w:val="none"/>
                <w14:textFill>
                  <w14:solidFill>
                    <w14:schemeClr w14:val="tx1"/>
                  </w14:solidFill>
                </w14:textFill>
              </w:rPr>
              <w:t>重庆市沙坪坝区土主镇享通路39号黄金湾智谷B1栋</w:t>
            </w:r>
            <w:r>
              <w:rPr>
                <w:rFonts w:hint="eastAsia" w:cs="宋体"/>
                <w:color w:val="000000" w:themeColor="text1"/>
                <w:szCs w:val="21"/>
                <w:highlight w:val="none"/>
                <w14:textFill>
                  <w14:solidFill>
                    <w14:schemeClr w14:val="tx1"/>
                  </w14:solidFill>
                </w14:textFill>
              </w:rPr>
              <w:t>重庆国际物流枢纽园区建设有限责任公司</w:t>
            </w:r>
            <w:r>
              <w:rPr>
                <w:rFonts w:hint="eastAsia" w:ascii="宋体" w:hAnsi="宋体" w:cs="宋体"/>
                <w:color w:val="000000" w:themeColor="text1"/>
                <w:szCs w:val="21"/>
                <w:highlight w:val="none"/>
                <w14:textFill>
                  <w14:solidFill>
                    <w14:schemeClr w14:val="tx1"/>
                  </w14:solidFill>
                </w14:textFill>
              </w:rPr>
              <w:t>招投标会议室</w:t>
            </w:r>
          </w:p>
        </w:tc>
      </w:tr>
      <w:tr w14:paraId="1CD0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14:paraId="371AD1BC">
            <w:pPr>
              <w:snapToGrid w:val="0"/>
              <w:spacing w:line="360" w:lineRule="auto"/>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6.1.1</w:t>
            </w:r>
          </w:p>
        </w:tc>
        <w:tc>
          <w:tcPr>
            <w:tcW w:w="1843" w:type="dxa"/>
            <w:vAlign w:val="center"/>
          </w:tcPr>
          <w:p w14:paraId="0CDDCC41">
            <w:pPr>
              <w:spacing w:line="420" w:lineRule="exact"/>
              <w:jc w:val="center"/>
              <w:textAlignment w:val="baseline"/>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无效标的确认</w:t>
            </w:r>
          </w:p>
          <w:p w14:paraId="64957337">
            <w:pPr>
              <w:adjustRightInd w:val="0"/>
              <w:snapToGrid w:val="0"/>
              <w:spacing w:line="360" w:lineRule="auto"/>
              <w:jc w:val="center"/>
              <w:rPr>
                <w:rFonts w:hint="eastAsia" w:ascii="宋体" w:hAnsi="宋体" w:cs="宋体"/>
                <w:color w:val="000000" w:themeColor="text1"/>
                <w:kern w:val="0"/>
                <w:szCs w:val="21"/>
                <w:highlight w:val="none"/>
                <w14:textFill>
                  <w14:solidFill>
                    <w14:schemeClr w14:val="tx1"/>
                  </w14:solidFill>
                </w14:textFill>
              </w:rPr>
            </w:pPr>
          </w:p>
        </w:tc>
        <w:tc>
          <w:tcPr>
            <w:tcW w:w="5811" w:type="dxa"/>
            <w:vAlign w:val="center"/>
          </w:tcPr>
          <w:p w14:paraId="02E1EE2E">
            <w:pPr>
              <w:spacing w:line="440" w:lineRule="exact"/>
              <w:ind w:firstLine="420" w:firstLineChars="200"/>
              <w:textAlignment w:val="baseline"/>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有下列情况之一者，均视为未响应本比选文件而作为废标条件：</w:t>
            </w:r>
          </w:p>
          <w:p w14:paraId="464AA1D4">
            <w:pPr>
              <w:spacing w:line="440" w:lineRule="exact"/>
              <w:ind w:firstLine="420" w:firstLineChars="200"/>
              <w:textAlignment w:val="baseline"/>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1.竞标文件没有加盖竞标单位印章的；</w:t>
            </w:r>
          </w:p>
          <w:p w14:paraId="03291E7D">
            <w:pPr>
              <w:spacing w:line="440" w:lineRule="exact"/>
              <w:ind w:firstLine="420" w:firstLineChars="200"/>
              <w:textAlignment w:val="baseline"/>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3.竞标文件未按规定的格式和要求填写，内容不全或者关键内容字迹模糊、无法辨认的；</w:t>
            </w:r>
          </w:p>
          <w:p w14:paraId="0398223F">
            <w:pPr>
              <w:spacing w:line="440" w:lineRule="exact"/>
              <w:ind w:firstLine="420" w:firstLineChars="200"/>
              <w:textAlignment w:val="baseline"/>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4.竞标文件中要求的竞标文件的几个组成部分的任一部分被认定为无效的；</w:t>
            </w:r>
          </w:p>
          <w:p w14:paraId="2E3AEB62">
            <w:pPr>
              <w:spacing w:line="440" w:lineRule="exact"/>
              <w:ind w:firstLine="420" w:firstLineChars="200"/>
              <w:textAlignment w:val="baseline"/>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5.竞标文件附有比选人不能接受的条件的</w:t>
            </w:r>
            <w:r>
              <w:rPr>
                <w:rFonts w:hint="eastAsia" w:ascii="宋体" w:hAnsi="宋体"/>
                <w:color w:val="000000" w:themeColor="text1"/>
                <w:szCs w:val="21"/>
                <w:highlight w:val="none"/>
                <w:lang w:eastAsia="zh-CN"/>
                <w14:textFill>
                  <w14:solidFill>
                    <w14:schemeClr w14:val="tx1"/>
                  </w14:solidFill>
                </w14:textFill>
              </w:rPr>
              <w:t>。</w:t>
            </w:r>
          </w:p>
        </w:tc>
      </w:tr>
      <w:tr w14:paraId="757B3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14:paraId="76808609">
            <w:pPr>
              <w:snapToGrid w:val="0"/>
              <w:spacing w:line="360" w:lineRule="auto"/>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6.1.2</w:t>
            </w:r>
          </w:p>
        </w:tc>
        <w:tc>
          <w:tcPr>
            <w:tcW w:w="1843" w:type="dxa"/>
            <w:vAlign w:val="center"/>
          </w:tcPr>
          <w:p w14:paraId="309042DE">
            <w:pPr>
              <w:spacing w:line="420" w:lineRule="exact"/>
              <w:ind w:firstLine="420" w:firstLineChars="200"/>
              <w:textAlignment w:val="baseline"/>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重新比选</w:t>
            </w:r>
          </w:p>
        </w:tc>
        <w:tc>
          <w:tcPr>
            <w:tcW w:w="5811" w:type="dxa"/>
            <w:vAlign w:val="center"/>
          </w:tcPr>
          <w:p w14:paraId="2647EAD8">
            <w:pPr>
              <w:spacing w:line="440" w:lineRule="exact"/>
              <w:textAlignment w:val="baseline"/>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竞标截止时间内，发包人收到的有效报价少于</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个的，发包人将重新竞争发包。</w:t>
            </w:r>
          </w:p>
        </w:tc>
      </w:tr>
      <w:tr w14:paraId="32F0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93" w:type="dxa"/>
            <w:vAlign w:val="center"/>
          </w:tcPr>
          <w:p w14:paraId="2EBA9E28">
            <w:pPr>
              <w:snapToGrid w:val="0"/>
              <w:spacing w:line="360" w:lineRule="auto"/>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7.1.1</w:t>
            </w:r>
          </w:p>
        </w:tc>
        <w:tc>
          <w:tcPr>
            <w:tcW w:w="1843" w:type="dxa"/>
            <w:vAlign w:val="center"/>
          </w:tcPr>
          <w:p w14:paraId="25E8EC64">
            <w:pPr>
              <w:autoSpaceDE w:val="0"/>
              <w:autoSpaceDN w:val="0"/>
              <w:adjustRightInd w:val="0"/>
              <w:spacing w:line="380" w:lineRule="exact"/>
              <w:ind w:firstLine="420" w:firstLineChars="20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评标原则</w:t>
            </w:r>
          </w:p>
          <w:p w14:paraId="4376865C">
            <w:pPr>
              <w:snapToGrid w:val="0"/>
              <w:spacing w:line="360" w:lineRule="auto"/>
              <w:jc w:val="center"/>
              <w:rPr>
                <w:rFonts w:ascii="宋体"/>
                <w:color w:val="000000" w:themeColor="text1"/>
                <w:szCs w:val="21"/>
                <w:highlight w:val="none"/>
                <w14:textFill>
                  <w14:solidFill>
                    <w14:schemeClr w14:val="tx1"/>
                  </w14:solidFill>
                </w14:textFill>
              </w:rPr>
            </w:pPr>
          </w:p>
        </w:tc>
        <w:tc>
          <w:tcPr>
            <w:tcW w:w="5811" w:type="dxa"/>
            <w:vAlign w:val="center"/>
          </w:tcPr>
          <w:p w14:paraId="4375E40F">
            <w:pPr>
              <w:spacing w:line="440" w:lineRule="exact"/>
              <w:ind w:firstLine="422" w:firstLineChars="201"/>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.由</w:t>
            </w:r>
            <w:r>
              <w:rPr>
                <w:rFonts w:hint="eastAsia" w:ascii="宋体" w:hAnsi="宋体" w:cs="宋体"/>
                <w:color w:val="000000" w:themeColor="text1"/>
                <w:kern w:val="0"/>
                <w:szCs w:val="21"/>
                <w:highlight w:val="none"/>
                <w14:textFill>
                  <w14:solidFill>
                    <w14:schemeClr w14:val="tx1"/>
                  </w14:solidFill>
                </w14:textFill>
              </w:rPr>
              <w:t>重庆国际物流枢纽园区建设有限责任公司</w:t>
            </w:r>
            <w:r>
              <w:rPr>
                <w:rFonts w:hint="eastAsia" w:ascii="宋体" w:hAnsi="宋体" w:cs="宋体"/>
                <w:color w:val="000000" w:themeColor="text1"/>
                <w:szCs w:val="21"/>
                <w:highlight w:val="none"/>
                <w14:textFill>
                  <w14:solidFill>
                    <w14:schemeClr w14:val="tx1"/>
                  </w14:solidFill>
                </w14:textFill>
              </w:rPr>
              <w:t>评标小组，采取综合评议办法，</w:t>
            </w:r>
            <w:r>
              <w:rPr>
                <w:rFonts w:ascii="宋体" w:hAnsi="宋体" w:cs="宋体"/>
                <w:color w:val="000000" w:themeColor="text1"/>
                <w:szCs w:val="21"/>
                <w:highlight w:val="none"/>
                <w14:textFill>
                  <w14:solidFill>
                    <w14:schemeClr w14:val="tx1"/>
                  </w14:solidFill>
                </w14:textFill>
              </w:rPr>
              <w:t>按评分加计总分排序，作为比选依据。</w:t>
            </w:r>
          </w:p>
          <w:p w14:paraId="30AEF91D">
            <w:pPr>
              <w:spacing w:line="440" w:lineRule="exact"/>
              <w:ind w:firstLine="422" w:firstLineChars="201"/>
              <w:rPr>
                <w:color w:val="000000" w:themeColor="text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获得的评分从高到低（评分人员对各参选单位评分的总和）</w:t>
            </w:r>
            <w:r>
              <w:rPr>
                <w:rFonts w:hint="eastAsia" w:ascii="宋体" w:hAnsi="宋体" w:cs="宋体"/>
                <w:color w:val="000000" w:themeColor="text1"/>
                <w:szCs w:val="21"/>
                <w:highlight w:val="none"/>
                <w14:textFill>
                  <w14:solidFill>
                    <w14:schemeClr w14:val="tx1"/>
                  </w14:solidFill>
                </w14:textFill>
              </w:rPr>
              <w:t>前</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名的投标人为本次中期票据承销商，组成本次债券发行</w:t>
            </w:r>
            <w:r>
              <w:rPr>
                <w:rFonts w:hint="eastAsia" w:ascii="宋体" w:hAnsi="宋体" w:cs="宋体"/>
                <w:color w:val="000000" w:themeColor="text1"/>
                <w:szCs w:val="21"/>
                <w:highlight w:val="none"/>
                <w:lang w:val="en-US" w:eastAsia="zh-CN"/>
                <w14:textFill>
                  <w14:solidFill>
                    <w14:schemeClr w14:val="tx1"/>
                  </w14:solidFill>
                </w14:textFill>
              </w:rPr>
              <w:t>的</w:t>
            </w:r>
            <w:r>
              <w:rPr>
                <w:rFonts w:hint="eastAsia" w:ascii="宋体" w:hAnsi="宋体" w:cs="宋体"/>
                <w:color w:val="000000" w:themeColor="text1"/>
                <w:szCs w:val="21"/>
                <w:highlight w:val="none"/>
                <w14:textFill>
                  <w14:solidFill>
                    <w14:schemeClr w14:val="tx1"/>
                  </w14:solidFill>
                </w14:textFill>
              </w:rPr>
              <w:t>联合承销团队。</w:t>
            </w:r>
          </w:p>
        </w:tc>
      </w:tr>
    </w:tbl>
    <w:p w14:paraId="0BFDFE9F">
      <w:pPr>
        <w:pStyle w:val="4"/>
        <w:rPr>
          <w:color w:val="000000" w:themeColor="text1"/>
          <w:highlight w:val="none"/>
          <w14:textFill>
            <w14:solidFill>
              <w14:schemeClr w14:val="tx1"/>
            </w14:solidFill>
          </w14:textFill>
        </w:rPr>
      </w:pPr>
      <w:bookmarkStart w:id="24" w:name="_Toc256532137"/>
    </w:p>
    <w:p w14:paraId="50C74653">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5805D108">
      <w:pPr>
        <w:pStyle w:val="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附件1：</w:t>
      </w:r>
    </w:p>
    <w:p w14:paraId="777B3AF7">
      <w:pPr>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中国银行间市场交易商协会债券承销机构（单独投标人）评分表</w:t>
      </w:r>
    </w:p>
    <w:p w14:paraId="4E42B5D1">
      <w:pPr>
        <w:jc w:val="center"/>
        <w:rPr>
          <w:b/>
          <w:bCs/>
          <w:color w:val="000000" w:themeColor="text1"/>
          <w:sz w:val="28"/>
          <w:szCs w:val="28"/>
          <w:highlight w:val="none"/>
          <w14:textFill>
            <w14:solidFill>
              <w14:schemeClr w14:val="tx1"/>
            </w14:solidFill>
          </w14:textFill>
        </w:rPr>
      </w:pPr>
    </w:p>
    <w:tbl>
      <w:tblPr>
        <w:tblStyle w:val="26"/>
        <w:tblW w:w="8976" w:type="dxa"/>
        <w:tblInd w:w="-170" w:type="dxa"/>
        <w:tblLayout w:type="fixed"/>
        <w:tblCellMar>
          <w:top w:w="0" w:type="dxa"/>
          <w:left w:w="0" w:type="dxa"/>
          <w:bottom w:w="0" w:type="dxa"/>
          <w:right w:w="0" w:type="dxa"/>
        </w:tblCellMar>
      </w:tblPr>
      <w:tblGrid>
        <w:gridCol w:w="876"/>
        <w:gridCol w:w="1416"/>
        <w:gridCol w:w="2777"/>
        <w:gridCol w:w="1220"/>
        <w:gridCol w:w="2687"/>
      </w:tblGrid>
      <w:tr w14:paraId="02055E94">
        <w:tblPrEx>
          <w:tblCellMar>
            <w:top w:w="0" w:type="dxa"/>
            <w:left w:w="0" w:type="dxa"/>
            <w:bottom w:w="0" w:type="dxa"/>
            <w:right w:w="0" w:type="dxa"/>
          </w:tblCellMar>
        </w:tblPrEx>
        <w:trPr>
          <w:trHeight w:val="368" w:hRule="atLeast"/>
        </w:trPr>
        <w:tc>
          <w:tcPr>
            <w:tcW w:w="876" w:type="dxa"/>
            <w:tcBorders>
              <w:top w:val="single" w:color="000000" w:sz="4" w:space="0"/>
              <w:left w:val="single" w:color="000000" w:sz="4" w:space="0"/>
              <w:bottom w:val="single" w:color="000000" w:sz="4" w:space="0"/>
              <w:right w:val="single" w:color="000000" w:sz="4" w:space="0"/>
            </w:tcBorders>
            <w:shd w:val="clear" w:color="auto" w:fill="BFBFBF"/>
            <w:tcMar>
              <w:top w:w="12" w:type="dxa"/>
              <w:left w:w="12" w:type="dxa"/>
              <w:right w:w="12" w:type="dxa"/>
            </w:tcMar>
            <w:vAlign w:val="center"/>
          </w:tcPr>
          <w:p w14:paraId="1EA5CAB2">
            <w:pPr>
              <w:widowControl/>
              <w:jc w:val="center"/>
              <w:textAlignment w:val="center"/>
              <w:rPr>
                <w:rFonts w:hint="eastAsia" w:ascii="方正黑体_GBK" w:hAnsi="方正黑体_GBK" w:eastAsia="方正黑体_GBK" w:cs="方正黑体_GBK"/>
                <w:b/>
                <w:color w:val="000000" w:themeColor="text1"/>
                <w:szCs w:val="21"/>
                <w:highlight w:val="none"/>
                <w14:textFill>
                  <w14:solidFill>
                    <w14:schemeClr w14:val="tx1"/>
                  </w14:solidFill>
                </w14:textFill>
              </w:rPr>
            </w:pPr>
            <w:r>
              <w:rPr>
                <w:rFonts w:hint="eastAsia" w:ascii="方正黑体_GBK" w:hAnsi="方正黑体_GBK" w:eastAsia="方正黑体_GBK" w:cs="方正黑体_GBK"/>
                <w:b/>
                <w:color w:val="000000" w:themeColor="text1"/>
                <w:kern w:val="0"/>
                <w:szCs w:val="21"/>
                <w:highlight w:val="none"/>
                <w:lang w:bidi="ar"/>
                <w14:textFill>
                  <w14:solidFill>
                    <w14:schemeClr w14:val="tx1"/>
                  </w14:solidFill>
                </w14:textFill>
              </w:rPr>
              <w:t>序号</w:t>
            </w:r>
          </w:p>
        </w:tc>
        <w:tc>
          <w:tcPr>
            <w:tcW w:w="1416" w:type="dxa"/>
            <w:tcBorders>
              <w:top w:val="single" w:color="000000" w:sz="4" w:space="0"/>
              <w:left w:val="single" w:color="000000" w:sz="4" w:space="0"/>
              <w:bottom w:val="single" w:color="000000" w:sz="4" w:space="0"/>
              <w:right w:val="single" w:color="000000" w:sz="4" w:space="0"/>
            </w:tcBorders>
            <w:shd w:val="clear" w:color="auto" w:fill="BFBFBF"/>
            <w:tcMar>
              <w:top w:w="12" w:type="dxa"/>
              <w:left w:w="12" w:type="dxa"/>
              <w:right w:w="12" w:type="dxa"/>
            </w:tcMar>
            <w:vAlign w:val="center"/>
          </w:tcPr>
          <w:p w14:paraId="7036DAF4">
            <w:pPr>
              <w:widowControl/>
              <w:jc w:val="center"/>
              <w:textAlignment w:val="center"/>
              <w:rPr>
                <w:rFonts w:hint="eastAsia" w:ascii="方正黑体_GBK" w:hAnsi="方正黑体_GBK" w:eastAsia="方正黑体_GBK" w:cs="方正黑体_GBK"/>
                <w:b/>
                <w:color w:val="000000" w:themeColor="text1"/>
                <w:szCs w:val="21"/>
                <w:highlight w:val="none"/>
                <w14:textFill>
                  <w14:solidFill>
                    <w14:schemeClr w14:val="tx1"/>
                  </w14:solidFill>
                </w14:textFill>
              </w:rPr>
            </w:pPr>
            <w:r>
              <w:rPr>
                <w:rFonts w:hint="eastAsia" w:ascii="方正黑体_GBK" w:hAnsi="方正黑体_GBK" w:eastAsia="方正黑体_GBK" w:cs="方正黑体_GBK"/>
                <w:b/>
                <w:color w:val="000000" w:themeColor="text1"/>
                <w:kern w:val="0"/>
                <w:szCs w:val="21"/>
                <w:highlight w:val="none"/>
                <w:lang w:bidi="ar"/>
                <w14:textFill>
                  <w14:solidFill>
                    <w14:schemeClr w14:val="tx1"/>
                  </w14:solidFill>
                </w14:textFill>
              </w:rPr>
              <w:t>评分项目</w:t>
            </w:r>
          </w:p>
        </w:tc>
        <w:tc>
          <w:tcPr>
            <w:tcW w:w="2777" w:type="dxa"/>
            <w:tcBorders>
              <w:top w:val="single" w:color="000000" w:sz="4" w:space="0"/>
              <w:left w:val="single" w:color="000000" w:sz="4" w:space="0"/>
              <w:bottom w:val="single" w:color="000000" w:sz="4" w:space="0"/>
              <w:right w:val="single" w:color="000000" w:sz="4" w:space="0"/>
            </w:tcBorders>
            <w:shd w:val="clear" w:color="auto" w:fill="BFBFBF"/>
            <w:tcMar>
              <w:top w:w="12" w:type="dxa"/>
              <w:left w:w="12" w:type="dxa"/>
              <w:right w:w="12" w:type="dxa"/>
            </w:tcMar>
            <w:vAlign w:val="center"/>
          </w:tcPr>
          <w:p w14:paraId="656CD311">
            <w:pPr>
              <w:widowControl/>
              <w:jc w:val="center"/>
              <w:textAlignment w:val="center"/>
              <w:rPr>
                <w:rFonts w:hint="eastAsia" w:ascii="方正黑体_GBK" w:hAnsi="方正黑体_GBK" w:eastAsia="方正黑体_GBK" w:cs="方正黑体_GBK"/>
                <w:b/>
                <w:color w:val="000000" w:themeColor="text1"/>
                <w:szCs w:val="21"/>
                <w:highlight w:val="none"/>
                <w14:textFill>
                  <w14:solidFill>
                    <w14:schemeClr w14:val="tx1"/>
                  </w14:solidFill>
                </w14:textFill>
              </w:rPr>
            </w:pPr>
            <w:r>
              <w:rPr>
                <w:rFonts w:hint="eastAsia" w:ascii="方正黑体_GBK" w:hAnsi="方正黑体_GBK" w:eastAsia="方正黑体_GBK" w:cs="方正黑体_GBK"/>
                <w:b/>
                <w:color w:val="000000" w:themeColor="text1"/>
                <w:kern w:val="0"/>
                <w:szCs w:val="21"/>
                <w:highlight w:val="none"/>
                <w:lang w:bidi="ar"/>
                <w14:textFill>
                  <w14:solidFill>
                    <w14:schemeClr w14:val="tx1"/>
                  </w14:solidFill>
                </w14:textFill>
              </w:rPr>
              <w:t>评分标准</w:t>
            </w:r>
          </w:p>
        </w:tc>
        <w:tc>
          <w:tcPr>
            <w:tcW w:w="1220" w:type="dxa"/>
            <w:tcBorders>
              <w:top w:val="single" w:color="000000" w:sz="4" w:space="0"/>
              <w:left w:val="single" w:color="000000" w:sz="4" w:space="0"/>
              <w:bottom w:val="single" w:color="000000" w:sz="4" w:space="0"/>
              <w:right w:val="single" w:color="000000" w:sz="4" w:space="0"/>
            </w:tcBorders>
            <w:shd w:val="clear" w:color="auto" w:fill="BFBFBF"/>
            <w:tcMar>
              <w:top w:w="12" w:type="dxa"/>
              <w:left w:w="12" w:type="dxa"/>
              <w:right w:w="12" w:type="dxa"/>
            </w:tcMar>
            <w:vAlign w:val="center"/>
          </w:tcPr>
          <w:p w14:paraId="5FE4CB48">
            <w:pPr>
              <w:widowControl/>
              <w:jc w:val="center"/>
              <w:textAlignment w:val="center"/>
              <w:rPr>
                <w:rFonts w:hint="eastAsia" w:ascii="方正黑体_GBK" w:hAnsi="方正黑体_GBK" w:eastAsia="方正黑体_GBK" w:cs="方正黑体_GBK"/>
                <w:color w:val="000000" w:themeColor="text1"/>
                <w:szCs w:val="21"/>
                <w:highlight w:val="none"/>
                <w14:textFill>
                  <w14:solidFill>
                    <w14:schemeClr w14:val="tx1"/>
                  </w14:solidFill>
                </w14:textFill>
              </w:rPr>
            </w:pPr>
            <w:r>
              <w:rPr>
                <w:rFonts w:hint="eastAsia" w:ascii="方正黑体_GBK" w:hAnsi="方正黑体_GBK" w:eastAsia="方正黑体_GBK" w:cs="方正黑体_GBK"/>
                <w:color w:val="000000" w:themeColor="text1"/>
                <w:kern w:val="0"/>
                <w:szCs w:val="21"/>
                <w:highlight w:val="none"/>
                <w:lang w:bidi="ar"/>
                <w14:textFill>
                  <w14:solidFill>
                    <w14:schemeClr w14:val="tx1"/>
                  </w14:solidFill>
                </w14:textFill>
              </w:rPr>
              <w:t>得分</w:t>
            </w:r>
          </w:p>
        </w:tc>
        <w:tc>
          <w:tcPr>
            <w:tcW w:w="2687" w:type="dxa"/>
            <w:tcBorders>
              <w:top w:val="single" w:color="000000" w:sz="4" w:space="0"/>
              <w:left w:val="single" w:color="000000" w:sz="4" w:space="0"/>
              <w:bottom w:val="single" w:color="000000" w:sz="4" w:space="0"/>
              <w:right w:val="single" w:color="000000" w:sz="4" w:space="0"/>
            </w:tcBorders>
            <w:shd w:val="clear" w:color="auto" w:fill="BFBFBF"/>
            <w:tcMar>
              <w:top w:w="12" w:type="dxa"/>
              <w:left w:w="12" w:type="dxa"/>
              <w:right w:w="12" w:type="dxa"/>
            </w:tcMar>
            <w:vAlign w:val="center"/>
          </w:tcPr>
          <w:p w14:paraId="3998477A">
            <w:pPr>
              <w:widowControl/>
              <w:jc w:val="center"/>
              <w:textAlignment w:val="center"/>
              <w:rPr>
                <w:rFonts w:hint="eastAsia" w:ascii="方正黑体_GBK" w:hAnsi="方正黑体_GBK" w:eastAsia="方正黑体_GBK" w:cs="方正黑体_GBK"/>
                <w:color w:val="000000" w:themeColor="text1"/>
                <w:szCs w:val="21"/>
                <w:highlight w:val="none"/>
                <w14:textFill>
                  <w14:solidFill>
                    <w14:schemeClr w14:val="tx1"/>
                  </w14:solidFill>
                </w14:textFill>
              </w:rPr>
            </w:pPr>
            <w:r>
              <w:rPr>
                <w:rFonts w:hint="eastAsia" w:ascii="方正黑体_GBK" w:hAnsi="方正黑体_GBK" w:eastAsia="方正黑体_GBK" w:cs="方正黑体_GBK"/>
                <w:color w:val="000000" w:themeColor="text1"/>
                <w:kern w:val="0"/>
                <w:szCs w:val="21"/>
                <w:highlight w:val="none"/>
                <w:lang w:bidi="ar"/>
                <w14:textFill>
                  <w14:solidFill>
                    <w14:schemeClr w14:val="tx1"/>
                  </w14:solidFill>
                </w14:textFill>
              </w:rPr>
              <w:t>备注</w:t>
            </w:r>
          </w:p>
        </w:tc>
      </w:tr>
      <w:tr w14:paraId="6726BE32">
        <w:tblPrEx>
          <w:tblCellMar>
            <w:top w:w="0" w:type="dxa"/>
            <w:left w:w="0" w:type="dxa"/>
            <w:bottom w:w="0" w:type="dxa"/>
            <w:right w:w="0" w:type="dxa"/>
          </w:tblCellMar>
        </w:tblPrEx>
        <w:trPr>
          <w:trHeight w:val="3444" w:hRule="atLeast"/>
        </w:trPr>
        <w:tc>
          <w:tcPr>
            <w:tcW w:w="8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EAA8C4D">
            <w:pPr>
              <w:widowControl/>
              <w:spacing w:line="240" w:lineRule="auto"/>
              <w:jc w:val="center"/>
              <w:textAlignment w:val="center"/>
              <w:rPr>
                <w:rFonts w:hint="eastAsia" w:ascii="方正楷体_GBK" w:hAnsi="方正楷体_GBK" w:eastAsia="方正楷体_GBK" w:cs="方正楷体_GBK"/>
                <w:color w:val="000000" w:themeColor="text1"/>
                <w:szCs w:val="21"/>
                <w:highlight w:val="none"/>
                <w14:textFill>
                  <w14:solidFill>
                    <w14:schemeClr w14:val="tx1"/>
                  </w14:solidFill>
                </w14:textFill>
              </w:rPr>
            </w:pPr>
            <w:r>
              <w:rPr>
                <w:rFonts w:hint="eastAsia" w:ascii="方正楷体_GBK" w:hAnsi="方正楷体_GBK" w:eastAsia="方正楷体_GBK" w:cs="方正楷体_GBK"/>
                <w:color w:val="000000" w:themeColor="text1"/>
                <w:kern w:val="0"/>
                <w:szCs w:val="21"/>
                <w:highlight w:val="none"/>
                <w:lang w:bidi="ar"/>
                <w14:textFill>
                  <w14:solidFill>
                    <w14:schemeClr w14:val="tx1"/>
                  </w14:solidFill>
                </w14:textFill>
              </w:rPr>
              <w:t>1</w:t>
            </w:r>
          </w:p>
        </w:tc>
        <w:tc>
          <w:tcPr>
            <w:tcW w:w="14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7116E0A">
            <w:pPr>
              <w:widowControl/>
              <w:spacing w:line="240" w:lineRule="auto"/>
              <w:jc w:val="center"/>
              <w:textAlignment w:val="center"/>
              <w:rPr>
                <w:rFonts w:hint="eastAsia" w:ascii="方正楷体_GBK" w:hAnsi="方正楷体_GBK" w:eastAsia="方正楷体_GBK" w:cs="方正楷体_GBK"/>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综合评价情况（5分）</w:t>
            </w:r>
          </w:p>
        </w:tc>
        <w:tc>
          <w:tcPr>
            <w:tcW w:w="2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2FF2783">
            <w:pPr>
              <w:widowControl/>
              <w:spacing w:line="240" w:lineRule="auto"/>
              <w:jc w:val="center"/>
              <w:textAlignment w:val="center"/>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仿宋" w:hAnsi="仿宋" w:eastAsia="仿宋" w:cs="仿宋"/>
                <w:color w:val="000000" w:themeColor="text1"/>
                <w:spacing w:val="2"/>
                <w:sz w:val="20"/>
                <w:szCs w:val="20"/>
                <w:highlight w:val="none"/>
                <w14:textFill>
                  <w14:solidFill>
                    <w14:schemeClr w14:val="tx1"/>
                  </w14:solidFill>
                </w14:textFill>
              </w:rPr>
              <w:t>供应商截至2025年</w:t>
            </w:r>
            <w:r>
              <w:rPr>
                <w:rFonts w:hint="eastAsia" w:ascii="仿宋" w:hAnsi="仿宋" w:eastAsia="仿宋" w:cs="仿宋"/>
                <w:color w:val="000000" w:themeColor="text1"/>
                <w:spacing w:val="2"/>
                <w:sz w:val="20"/>
                <w:szCs w:val="20"/>
                <w:highlight w:val="none"/>
                <w:lang w:val="en-US" w:eastAsia="zh-CN"/>
                <w14:textFill>
                  <w14:solidFill>
                    <w14:schemeClr w14:val="tx1"/>
                  </w14:solidFill>
                </w14:textFill>
              </w:rPr>
              <w:t>12</w:t>
            </w:r>
            <w:r>
              <w:rPr>
                <w:rFonts w:hint="eastAsia" w:ascii="仿宋" w:hAnsi="仿宋" w:eastAsia="仿宋" w:cs="仿宋"/>
                <w:color w:val="000000" w:themeColor="text1"/>
                <w:spacing w:val="2"/>
                <w:sz w:val="20"/>
                <w:szCs w:val="20"/>
                <w:highlight w:val="none"/>
                <w14:textFill>
                  <w14:solidFill>
                    <w14:schemeClr w14:val="tx1"/>
                  </w14:solidFill>
                </w14:textFill>
              </w:rPr>
              <w:t>月</w:t>
            </w:r>
            <w:r>
              <w:rPr>
                <w:rFonts w:hint="eastAsia" w:ascii="仿宋" w:hAnsi="仿宋" w:eastAsia="仿宋" w:cs="仿宋"/>
                <w:color w:val="000000" w:themeColor="text1"/>
                <w:spacing w:val="2"/>
                <w:sz w:val="20"/>
                <w:szCs w:val="20"/>
                <w:highlight w:val="none"/>
                <w:lang w:val="en-US" w:eastAsia="zh-CN"/>
                <w14:textFill>
                  <w14:solidFill>
                    <w14:schemeClr w14:val="tx1"/>
                  </w14:solidFill>
                </w14:textFill>
              </w:rPr>
              <w:t>31</w:t>
            </w:r>
            <w:r>
              <w:rPr>
                <w:rFonts w:hint="eastAsia" w:ascii="仿宋" w:hAnsi="仿宋" w:eastAsia="仿宋" w:cs="仿宋"/>
                <w:color w:val="000000" w:themeColor="text1"/>
                <w:spacing w:val="2"/>
                <w:sz w:val="20"/>
                <w:szCs w:val="20"/>
                <w:highlight w:val="none"/>
                <w14:textFill>
                  <w14:solidFill>
                    <w14:schemeClr w14:val="tx1"/>
                  </w14:solidFill>
                </w14:textFill>
              </w:rPr>
              <w:t>日总资产情况：资产总额超过10000亿元（不含）的得5分；10000亿元（含）-8000亿元（不含）的得4分；8000亿元（含）-5000亿元（不含）的得3分；5000亿元（含）-3000亿元（不含）的得2分，3000亿元（含）以下的得1分。</w:t>
            </w:r>
          </w:p>
        </w:tc>
        <w:tc>
          <w:tcPr>
            <w:tcW w:w="12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7B9BF55">
            <w:pPr>
              <w:widowControl/>
              <w:spacing w:line="240" w:lineRule="auto"/>
              <w:jc w:val="center"/>
              <w:rPr>
                <w:rFonts w:hint="eastAsia" w:ascii="方正仿宋_GBK" w:hAnsi="方正仿宋_GBK" w:eastAsia="方正仿宋_GBK" w:cs="方正仿宋_GBK"/>
                <w:color w:val="000000" w:themeColor="text1"/>
                <w:szCs w:val="21"/>
                <w:highlight w:val="none"/>
                <w14:textFill>
                  <w14:solidFill>
                    <w14:schemeClr w14:val="tx1"/>
                  </w14:solidFill>
                </w14:textFill>
              </w:rPr>
            </w:pPr>
          </w:p>
        </w:tc>
        <w:tc>
          <w:tcPr>
            <w:tcW w:w="268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2818D7A">
            <w:pPr>
              <w:widowControl/>
              <w:spacing w:line="240" w:lineRule="auto"/>
              <w:jc w:val="center"/>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仿宋" w:hAnsi="仿宋" w:eastAsia="仿宋" w:cs="仿宋"/>
                <w:color w:val="000000" w:themeColor="text1"/>
                <w:spacing w:val="2"/>
                <w:sz w:val="15"/>
                <w:szCs w:val="15"/>
                <w:highlight w:val="none"/>
                <w14:textFill>
                  <w14:solidFill>
                    <w14:schemeClr w14:val="tx1"/>
                  </w14:solidFill>
                </w14:textFill>
              </w:rPr>
              <w:t>提供2025年</w:t>
            </w:r>
            <w:r>
              <w:rPr>
                <w:rFonts w:hint="eastAsia" w:ascii="仿宋" w:hAnsi="仿宋" w:eastAsia="仿宋" w:cs="仿宋"/>
                <w:color w:val="000000" w:themeColor="text1"/>
                <w:spacing w:val="2"/>
                <w:sz w:val="15"/>
                <w:szCs w:val="15"/>
                <w:highlight w:val="none"/>
                <w:lang w:val="en-US" w:eastAsia="zh-CN"/>
                <w14:textFill>
                  <w14:solidFill>
                    <w14:schemeClr w14:val="tx1"/>
                  </w14:solidFill>
                </w14:textFill>
              </w:rPr>
              <w:t>12</w:t>
            </w:r>
            <w:r>
              <w:rPr>
                <w:rFonts w:hint="eastAsia" w:ascii="仿宋" w:hAnsi="仿宋" w:eastAsia="仿宋" w:cs="仿宋"/>
                <w:color w:val="000000" w:themeColor="text1"/>
                <w:spacing w:val="2"/>
                <w:sz w:val="15"/>
                <w:szCs w:val="15"/>
                <w:highlight w:val="none"/>
                <w14:textFill>
                  <w14:solidFill>
                    <w14:schemeClr w14:val="tx1"/>
                  </w14:solidFill>
                </w14:textFill>
              </w:rPr>
              <w:t>月3</w:t>
            </w:r>
            <w:r>
              <w:rPr>
                <w:rFonts w:hint="eastAsia" w:ascii="仿宋" w:hAnsi="仿宋" w:eastAsia="仿宋" w:cs="仿宋"/>
                <w:color w:val="000000" w:themeColor="text1"/>
                <w:spacing w:val="2"/>
                <w:sz w:val="15"/>
                <w:szCs w:val="15"/>
                <w:highlight w:val="none"/>
                <w:lang w:val="en-US" w:eastAsia="zh-CN"/>
                <w14:textFill>
                  <w14:solidFill>
                    <w14:schemeClr w14:val="tx1"/>
                  </w14:solidFill>
                </w14:textFill>
              </w:rPr>
              <w:t>1</w:t>
            </w:r>
            <w:r>
              <w:rPr>
                <w:rFonts w:hint="eastAsia" w:ascii="仿宋" w:hAnsi="仿宋" w:eastAsia="仿宋" w:cs="仿宋"/>
                <w:color w:val="000000" w:themeColor="text1"/>
                <w:spacing w:val="2"/>
                <w:sz w:val="15"/>
                <w:szCs w:val="15"/>
                <w:highlight w:val="none"/>
                <w14:textFill>
                  <w14:solidFill>
                    <w14:schemeClr w14:val="tx1"/>
                  </w14:solidFill>
                </w14:textFill>
              </w:rPr>
              <w:t>日末的资产负债表复印件并加盖公章，否则不得分。</w:t>
            </w:r>
          </w:p>
        </w:tc>
      </w:tr>
      <w:tr w14:paraId="773D7ED6">
        <w:tblPrEx>
          <w:tblCellMar>
            <w:top w:w="0" w:type="dxa"/>
            <w:left w:w="0" w:type="dxa"/>
            <w:bottom w:w="0" w:type="dxa"/>
            <w:right w:w="0" w:type="dxa"/>
          </w:tblCellMar>
        </w:tblPrEx>
        <w:trPr>
          <w:trHeight w:val="3444" w:hRule="atLeast"/>
        </w:trPr>
        <w:tc>
          <w:tcPr>
            <w:tcW w:w="8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09DE17C">
            <w:pPr>
              <w:widowControl/>
              <w:spacing w:line="240" w:lineRule="auto"/>
              <w:jc w:val="center"/>
              <w:textAlignment w:val="center"/>
              <w:rPr>
                <w:rFonts w:hint="eastAsia" w:ascii="方正楷体_GBK" w:hAnsi="方正楷体_GBK" w:eastAsia="方正楷体_GBK" w:cs="方正楷体_GBK"/>
                <w:color w:val="000000" w:themeColor="text1"/>
                <w:kern w:val="0"/>
                <w:szCs w:val="21"/>
                <w:highlight w:val="none"/>
                <w:lang w:val="en-US" w:eastAsia="zh-CN" w:bidi="ar"/>
                <w14:textFill>
                  <w14:solidFill>
                    <w14:schemeClr w14:val="tx1"/>
                  </w14:solidFill>
                </w14:textFill>
              </w:rPr>
            </w:pPr>
            <w:r>
              <w:rPr>
                <w:rFonts w:hint="eastAsia" w:ascii="方正楷体_GBK" w:hAnsi="方正楷体_GBK" w:eastAsia="方正楷体_GBK" w:cs="方正楷体_GBK"/>
                <w:color w:val="000000" w:themeColor="text1"/>
                <w:kern w:val="0"/>
                <w:szCs w:val="21"/>
                <w:highlight w:val="none"/>
                <w:lang w:val="en-US" w:eastAsia="zh-CN" w:bidi="ar"/>
                <w14:textFill>
                  <w14:solidFill>
                    <w14:schemeClr w14:val="tx1"/>
                  </w14:solidFill>
                </w14:textFill>
              </w:rPr>
              <w:t>2</w:t>
            </w:r>
          </w:p>
        </w:tc>
        <w:tc>
          <w:tcPr>
            <w:tcW w:w="14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E7B7DCA">
            <w:pPr>
              <w:widowControl/>
              <w:spacing w:line="240" w:lineRule="auto"/>
              <w:jc w:val="center"/>
              <w:textAlignment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全国</w:t>
            </w:r>
            <w:r>
              <w:rPr>
                <w:rFonts w:hint="eastAsia"/>
                <w:color w:val="000000" w:themeColor="text1"/>
                <w:highlight w:val="none"/>
                <w14:textFill>
                  <w14:solidFill>
                    <w14:schemeClr w14:val="tx1"/>
                  </w14:solidFill>
                </w14:textFill>
              </w:rPr>
              <w:t>债券承销发行业绩（</w:t>
            </w:r>
            <w:r>
              <w:rPr>
                <w:rFonts w:hint="eastAsia"/>
                <w:color w:val="000000" w:themeColor="text1"/>
                <w:highlight w:val="none"/>
                <w:lang w:eastAsia="zh-CN"/>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0</w:t>
            </w:r>
            <w:r>
              <w:rPr>
                <w:rFonts w:hint="eastAsia"/>
                <w:color w:val="000000" w:themeColor="text1"/>
                <w:highlight w:val="none"/>
                <w14:textFill>
                  <w14:solidFill>
                    <w14:schemeClr w14:val="tx1"/>
                  </w14:solidFill>
                </w14:textFill>
              </w:rPr>
              <w:t>分）</w:t>
            </w:r>
          </w:p>
        </w:tc>
        <w:tc>
          <w:tcPr>
            <w:tcW w:w="2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B6DE76D">
            <w:pPr>
              <w:widowControl/>
              <w:spacing w:line="240" w:lineRule="auto"/>
              <w:ind w:firstLine="0" w:firstLineChars="0"/>
              <w:jc w:val="center"/>
              <w:textAlignment w:val="center"/>
              <w:rPr>
                <w:rFonts w:hint="eastAsia" w:ascii="仿宋" w:hAnsi="仿宋" w:eastAsia="仿宋" w:cs="仿宋"/>
                <w:color w:val="000000" w:themeColor="text1"/>
                <w:spacing w:val="-2"/>
                <w:sz w:val="20"/>
                <w:szCs w:val="20"/>
                <w:highlight w:val="none"/>
                <w14:textFill>
                  <w14:solidFill>
                    <w14:schemeClr w14:val="tx1"/>
                  </w14:solidFill>
                </w14:textFill>
              </w:rPr>
            </w:pPr>
            <w:r>
              <w:rPr>
                <w:rFonts w:hint="eastAsia" w:ascii="仿宋" w:hAnsi="仿宋" w:eastAsia="仿宋" w:cs="仿宋"/>
                <w:color w:val="000000" w:themeColor="text1"/>
                <w:spacing w:val="-2"/>
                <w:sz w:val="20"/>
                <w:szCs w:val="20"/>
                <w:highlight w:val="none"/>
                <w14:textFill>
                  <w14:solidFill>
                    <w14:schemeClr w14:val="tx1"/>
                  </w14:solidFill>
                </w14:textFill>
              </w:rPr>
              <w:t>1、2023年1月1日至2025年12月31日全国承销发行非金融企业债务融资工具</w:t>
            </w:r>
            <w:r>
              <w:rPr>
                <w:rFonts w:hint="eastAsia" w:ascii="仿宋" w:hAnsi="仿宋" w:eastAsia="仿宋" w:cs="仿宋"/>
                <w:color w:val="000000" w:themeColor="text1"/>
                <w:spacing w:val="-2"/>
                <w:sz w:val="20"/>
                <w:szCs w:val="20"/>
                <w:highlight w:val="none"/>
                <w:lang w:val="en-US" w:eastAsia="zh-CN"/>
                <w14:textFill>
                  <w14:solidFill>
                    <w14:schemeClr w14:val="tx1"/>
                  </w14:solidFill>
                </w14:textFill>
              </w:rPr>
              <w:t>承销</w:t>
            </w:r>
            <w:r>
              <w:rPr>
                <w:rFonts w:hint="eastAsia" w:ascii="仿宋" w:hAnsi="仿宋" w:eastAsia="仿宋" w:cs="仿宋"/>
                <w:color w:val="000000" w:themeColor="text1"/>
                <w:spacing w:val="-2"/>
                <w:sz w:val="20"/>
                <w:szCs w:val="20"/>
                <w:highlight w:val="none"/>
                <w14:textFill>
                  <w14:solidFill>
                    <w14:schemeClr w14:val="tx1"/>
                  </w14:solidFill>
                </w14:textFill>
              </w:rPr>
              <w:t>规模，当期</w:t>
            </w:r>
            <w:r>
              <w:rPr>
                <w:rFonts w:hint="eastAsia" w:ascii="仿宋" w:hAnsi="仿宋" w:eastAsia="仿宋" w:cs="仿宋"/>
                <w:color w:val="000000" w:themeColor="text1"/>
                <w:spacing w:val="-2"/>
                <w:sz w:val="20"/>
                <w:szCs w:val="20"/>
                <w:highlight w:val="none"/>
                <w:lang w:val="en-US" w:eastAsia="zh-CN"/>
                <w14:textFill>
                  <w14:solidFill>
                    <w14:schemeClr w14:val="tx1"/>
                  </w14:solidFill>
                </w14:textFill>
              </w:rPr>
              <w:t>承销</w:t>
            </w:r>
            <w:r>
              <w:rPr>
                <w:rFonts w:hint="eastAsia" w:ascii="仿宋" w:hAnsi="仿宋" w:eastAsia="仿宋" w:cs="仿宋"/>
                <w:color w:val="000000" w:themeColor="text1"/>
                <w:spacing w:val="-2"/>
                <w:sz w:val="20"/>
                <w:szCs w:val="20"/>
                <w:highlight w:val="none"/>
                <w14:textFill>
                  <w14:solidFill>
                    <w14:schemeClr w14:val="tx1"/>
                  </w14:solidFill>
                </w14:textFill>
              </w:rPr>
              <w:t>规模＞500亿元，得10分；当期</w:t>
            </w:r>
            <w:r>
              <w:rPr>
                <w:rFonts w:hint="eastAsia" w:ascii="仿宋" w:hAnsi="仿宋" w:eastAsia="仿宋" w:cs="仿宋"/>
                <w:color w:val="000000" w:themeColor="text1"/>
                <w:spacing w:val="-2"/>
                <w:sz w:val="20"/>
                <w:szCs w:val="20"/>
                <w:highlight w:val="none"/>
                <w:lang w:val="en-US" w:eastAsia="zh-CN"/>
                <w14:textFill>
                  <w14:solidFill>
                    <w14:schemeClr w14:val="tx1"/>
                  </w14:solidFill>
                </w14:textFill>
              </w:rPr>
              <w:t>承销</w:t>
            </w:r>
            <w:r>
              <w:rPr>
                <w:rFonts w:hint="eastAsia" w:ascii="仿宋" w:hAnsi="仿宋" w:eastAsia="仿宋" w:cs="仿宋"/>
                <w:color w:val="000000" w:themeColor="text1"/>
                <w:spacing w:val="-2"/>
                <w:sz w:val="20"/>
                <w:szCs w:val="20"/>
                <w:highlight w:val="none"/>
                <w14:textFill>
                  <w14:solidFill>
                    <w14:schemeClr w14:val="tx1"/>
                  </w14:solidFill>
                </w14:textFill>
              </w:rPr>
              <w:t>规模为300亿元（不含）～500亿元（含），得7分；当期</w:t>
            </w:r>
            <w:r>
              <w:rPr>
                <w:rFonts w:hint="eastAsia" w:ascii="仿宋" w:hAnsi="仿宋" w:eastAsia="仿宋" w:cs="仿宋"/>
                <w:color w:val="000000" w:themeColor="text1"/>
                <w:spacing w:val="-2"/>
                <w:sz w:val="20"/>
                <w:szCs w:val="20"/>
                <w:highlight w:val="none"/>
                <w:lang w:val="en-US" w:eastAsia="zh-CN"/>
                <w14:textFill>
                  <w14:solidFill>
                    <w14:schemeClr w14:val="tx1"/>
                  </w14:solidFill>
                </w14:textFill>
              </w:rPr>
              <w:t>承销</w:t>
            </w:r>
            <w:r>
              <w:rPr>
                <w:rFonts w:hint="eastAsia" w:ascii="仿宋" w:hAnsi="仿宋" w:eastAsia="仿宋" w:cs="仿宋"/>
                <w:color w:val="000000" w:themeColor="text1"/>
                <w:spacing w:val="-2"/>
                <w:sz w:val="20"/>
                <w:szCs w:val="20"/>
                <w:highlight w:val="none"/>
                <w14:textFill>
                  <w14:solidFill>
                    <w14:schemeClr w14:val="tx1"/>
                  </w14:solidFill>
                </w14:textFill>
              </w:rPr>
              <w:t>规模为100亿元（不含）～300亿元（含），得4分；当期</w:t>
            </w:r>
            <w:r>
              <w:rPr>
                <w:rFonts w:hint="eastAsia" w:ascii="仿宋" w:hAnsi="仿宋" w:eastAsia="仿宋" w:cs="仿宋"/>
                <w:color w:val="000000" w:themeColor="text1"/>
                <w:spacing w:val="-2"/>
                <w:sz w:val="20"/>
                <w:szCs w:val="20"/>
                <w:highlight w:val="none"/>
                <w:lang w:val="en-US" w:eastAsia="zh-CN"/>
                <w14:textFill>
                  <w14:solidFill>
                    <w14:schemeClr w14:val="tx1"/>
                  </w14:solidFill>
                </w14:textFill>
              </w:rPr>
              <w:t>承销</w:t>
            </w:r>
            <w:r>
              <w:rPr>
                <w:rFonts w:hint="eastAsia" w:ascii="仿宋" w:hAnsi="仿宋" w:eastAsia="仿宋" w:cs="仿宋"/>
                <w:color w:val="000000" w:themeColor="text1"/>
                <w:spacing w:val="-2"/>
                <w:sz w:val="20"/>
                <w:szCs w:val="20"/>
                <w:highlight w:val="none"/>
                <w14:textFill>
                  <w14:solidFill>
                    <w14:schemeClr w14:val="tx1"/>
                  </w14:solidFill>
                </w14:textFill>
              </w:rPr>
              <w:t>规模≤100亿元，得0分。</w:t>
            </w:r>
          </w:p>
          <w:p w14:paraId="4A6F185B">
            <w:pPr>
              <w:widowControl/>
              <w:spacing w:line="240" w:lineRule="auto"/>
              <w:jc w:val="center"/>
              <w:textAlignment w:val="center"/>
              <w:rPr>
                <w:rFonts w:ascii="仿宋" w:hAnsi="仿宋" w:eastAsia="仿宋" w:cs="仿宋"/>
                <w:color w:val="000000" w:themeColor="text1"/>
                <w:spacing w:val="2"/>
                <w:sz w:val="20"/>
                <w:szCs w:val="20"/>
                <w:highlight w:val="none"/>
                <w14:textFill>
                  <w14:solidFill>
                    <w14:schemeClr w14:val="tx1"/>
                  </w14:solidFill>
                </w14:textFill>
              </w:rPr>
            </w:pPr>
            <w:r>
              <w:rPr>
                <w:rFonts w:hint="eastAsia" w:ascii="仿宋" w:hAnsi="仿宋" w:eastAsia="仿宋" w:cs="仿宋"/>
                <w:color w:val="000000" w:themeColor="text1"/>
                <w:spacing w:val="-2"/>
                <w:sz w:val="20"/>
                <w:szCs w:val="20"/>
                <w:highlight w:val="none"/>
                <w14:textFill>
                  <w14:solidFill>
                    <w14:schemeClr w14:val="tx1"/>
                  </w14:solidFill>
                </w14:textFill>
              </w:rPr>
              <w:t>2、2023年1月1日至2025年12月31日全国承销发行非金融企业债务融资工具发行只数，当期发行只数＞200只，得10分；当期发行只数为150只（不含）～200只（含），得7分；当期发行只数为100只（不含）～150只（含），得4分；当期发行只数≤100只，得0分。</w:t>
            </w:r>
          </w:p>
        </w:tc>
        <w:tc>
          <w:tcPr>
            <w:tcW w:w="12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5508A42">
            <w:pPr>
              <w:widowControl/>
              <w:spacing w:line="240" w:lineRule="auto"/>
              <w:jc w:val="center"/>
              <w:rPr>
                <w:rFonts w:hint="eastAsia" w:ascii="方正仿宋_GBK" w:hAnsi="方正仿宋_GBK" w:eastAsia="方正仿宋_GBK" w:cs="方正仿宋_GBK"/>
                <w:color w:val="000000" w:themeColor="text1"/>
                <w:szCs w:val="21"/>
                <w:highlight w:val="none"/>
                <w14:textFill>
                  <w14:solidFill>
                    <w14:schemeClr w14:val="tx1"/>
                  </w14:solidFill>
                </w14:textFill>
              </w:rPr>
            </w:pPr>
          </w:p>
        </w:tc>
        <w:tc>
          <w:tcPr>
            <w:tcW w:w="268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B25D183">
            <w:pPr>
              <w:widowControl/>
              <w:spacing w:line="240" w:lineRule="auto"/>
              <w:jc w:val="center"/>
              <w:rPr>
                <w:rFonts w:hint="eastAsia" w:ascii="仿宋" w:hAnsi="仿宋" w:eastAsia="宋体" w:cs="仿宋"/>
                <w:color w:val="000000" w:themeColor="text1"/>
                <w:spacing w:val="2"/>
                <w:sz w:val="15"/>
                <w:szCs w:val="15"/>
                <w:highlight w:val="none"/>
                <w:lang w:eastAsia="zh-CN"/>
                <w14:textFill>
                  <w14:solidFill>
                    <w14:schemeClr w14:val="tx1"/>
                  </w14:solidFill>
                </w14:textFill>
              </w:rPr>
            </w:pPr>
            <w:r>
              <w:rPr>
                <w:rFonts w:hint="eastAsia" w:ascii="仿宋" w:hAnsi="仿宋" w:eastAsia="仿宋" w:cs="仿宋"/>
                <w:color w:val="000000" w:themeColor="text1"/>
                <w:spacing w:val="2"/>
                <w:sz w:val="15"/>
                <w:szCs w:val="15"/>
                <w:highlight w:val="none"/>
                <w14:textFill>
                  <w14:solidFill>
                    <w14:schemeClr w14:val="tx1"/>
                  </w14:solidFill>
                </w14:textFill>
              </w:rPr>
              <w:t>查询路径为：【</w:t>
            </w:r>
            <w:r>
              <w:rPr>
                <w:rFonts w:hint="eastAsia" w:ascii="方正仿宋_GBK" w:hAnsi="方正仿宋_GBK" w:eastAsia="方正仿宋_GBK" w:cs="方正仿宋_GBK"/>
                <w:color w:val="000000" w:themeColor="text1"/>
                <w:sz w:val="15"/>
                <w:szCs w:val="15"/>
                <w:highlight w:val="none"/>
                <w14:textFill>
                  <w14:solidFill>
                    <w14:schemeClr w14:val="tx1"/>
                  </w14:solidFill>
                </w14:textFill>
              </w:rPr>
              <w:t>WIND</w:t>
            </w:r>
            <w:r>
              <w:rPr>
                <w:rFonts w:hint="eastAsia" w:ascii="方正仿宋_GBK" w:hAnsi="方正仿宋_GBK" w:eastAsia="方正仿宋_GBK" w:cs="方正仿宋_GBK"/>
                <w:color w:val="000000" w:themeColor="text1"/>
                <w:sz w:val="15"/>
                <w:szCs w:val="15"/>
                <w:highlight w:val="none"/>
                <w:lang w:val="en-US" w:eastAsia="zh-CN"/>
                <w14:textFill>
                  <w14:solidFill>
                    <w14:schemeClr w14:val="tx1"/>
                  </w14:solidFill>
                </w14:textFill>
              </w:rPr>
              <w:t>-</w:t>
            </w:r>
            <w:r>
              <w:rPr>
                <w:rFonts w:hint="eastAsia" w:ascii="仿宋" w:hAnsi="仿宋" w:eastAsia="仿宋" w:cs="仿宋"/>
                <w:color w:val="000000" w:themeColor="text1"/>
                <w:spacing w:val="2"/>
                <w:sz w:val="15"/>
                <w:szCs w:val="15"/>
                <w:highlight w:val="none"/>
                <w14:textFill>
                  <w14:solidFill>
                    <w14:schemeClr w14:val="tx1"/>
                  </w14:solidFill>
                </w14:textFill>
              </w:rPr>
              <w:t>债券专题-一级市场—承销统计-机构全国业务统计，承销机构：投标人、债券分类：债券分类（Wind）（旧）勾选“中期票据”“短期融资券”“定向工具”、机构类型：全部、任意区间（2023年1月1日-2025年12月31日）】</w:t>
            </w:r>
            <w:r>
              <w:rPr>
                <w:rFonts w:hint="eastAsia" w:ascii="仿宋" w:hAnsi="仿宋" w:eastAsia="仿宋" w:cs="仿宋"/>
                <w:color w:val="000000" w:themeColor="text1"/>
                <w:spacing w:val="2"/>
                <w:sz w:val="15"/>
                <w:szCs w:val="15"/>
                <w:highlight w:val="none"/>
                <w:lang w:eastAsia="zh-CN"/>
                <w14:textFill>
                  <w14:solidFill>
                    <w14:schemeClr w14:val="tx1"/>
                  </w14:solidFill>
                </w14:textFill>
              </w:rPr>
              <w:t>。</w:t>
            </w:r>
            <w:r>
              <w:rPr>
                <w:rFonts w:hint="eastAsia" w:ascii="仿宋" w:hAnsi="仿宋" w:eastAsia="仿宋" w:cs="仿宋"/>
                <w:color w:val="000000" w:themeColor="text1"/>
                <w:spacing w:val="2"/>
                <w:sz w:val="15"/>
                <w:szCs w:val="15"/>
                <w:highlight w:val="none"/>
                <w14:textFill>
                  <w14:solidFill>
                    <w14:schemeClr w14:val="tx1"/>
                  </w14:solidFill>
                </w14:textFill>
              </w:rPr>
              <w:t>参选人需提供Wind数据截图并加盖公章</w:t>
            </w:r>
            <w:r>
              <w:rPr>
                <w:rFonts w:hint="eastAsia" w:ascii="仿宋" w:hAnsi="仿宋" w:eastAsia="仿宋" w:cs="仿宋"/>
                <w:color w:val="000000" w:themeColor="text1"/>
                <w:spacing w:val="2"/>
                <w:sz w:val="15"/>
                <w:szCs w:val="15"/>
                <w:highlight w:val="none"/>
                <w:lang w:eastAsia="zh-CN"/>
                <w14:textFill>
                  <w14:solidFill>
                    <w14:schemeClr w14:val="tx1"/>
                  </w14:solidFill>
                </w14:textFill>
              </w:rPr>
              <w:t>。</w:t>
            </w:r>
          </w:p>
        </w:tc>
      </w:tr>
      <w:tr w14:paraId="3920E283">
        <w:tblPrEx>
          <w:tblCellMar>
            <w:top w:w="0" w:type="dxa"/>
            <w:left w:w="0" w:type="dxa"/>
            <w:bottom w:w="0" w:type="dxa"/>
            <w:right w:w="0" w:type="dxa"/>
          </w:tblCellMar>
        </w:tblPrEx>
        <w:trPr>
          <w:trHeight w:val="1228" w:hRule="atLeast"/>
        </w:trPr>
        <w:tc>
          <w:tcPr>
            <w:tcW w:w="8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B838ABB">
            <w:pPr>
              <w:widowControl/>
              <w:spacing w:line="240" w:lineRule="auto"/>
              <w:jc w:val="center"/>
              <w:textAlignment w:val="center"/>
              <w:rPr>
                <w:rFonts w:hint="eastAsia" w:ascii="方正楷体_GBK" w:hAnsi="方正楷体_GBK" w:eastAsia="方正楷体_GBK" w:cs="方正楷体_GBK"/>
                <w:color w:val="000000" w:themeColor="text1"/>
                <w:kern w:val="0"/>
                <w:szCs w:val="21"/>
                <w:highlight w:val="none"/>
                <w:lang w:val="en-US" w:eastAsia="zh-CN" w:bidi="ar"/>
                <w14:textFill>
                  <w14:solidFill>
                    <w14:schemeClr w14:val="tx1"/>
                  </w14:solidFill>
                </w14:textFill>
              </w:rPr>
            </w:pPr>
            <w:r>
              <w:rPr>
                <w:rFonts w:hint="eastAsia" w:ascii="方正楷体_GBK" w:hAnsi="方正楷体_GBK" w:eastAsia="方正楷体_GBK" w:cs="方正楷体_GBK"/>
                <w:color w:val="000000" w:themeColor="text1"/>
                <w:kern w:val="0"/>
                <w:szCs w:val="21"/>
                <w:highlight w:val="none"/>
                <w:lang w:val="en-US" w:eastAsia="zh-CN" w:bidi="ar"/>
                <w14:textFill>
                  <w14:solidFill>
                    <w14:schemeClr w14:val="tx1"/>
                  </w14:solidFill>
                </w14:textFill>
              </w:rPr>
              <w:t>3</w:t>
            </w:r>
          </w:p>
        </w:tc>
        <w:tc>
          <w:tcPr>
            <w:tcW w:w="14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1A05753">
            <w:pPr>
              <w:widowControl/>
              <w:spacing w:line="240" w:lineRule="auto"/>
              <w:jc w:val="center"/>
              <w:textAlignment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重庆债券承销发行业绩（</w:t>
            </w:r>
            <w:r>
              <w:rPr>
                <w:rFonts w:hint="eastAsia"/>
                <w:color w:val="000000" w:themeColor="text1"/>
                <w:highlight w:val="none"/>
                <w:lang w:val="en-US" w:eastAsia="zh-CN"/>
                <w14:textFill>
                  <w14:solidFill>
                    <w14:schemeClr w14:val="tx1"/>
                  </w14:solidFill>
                </w14:textFill>
              </w:rPr>
              <w:t>10</w:t>
            </w:r>
            <w:r>
              <w:rPr>
                <w:rFonts w:hint="eastAsia"/>
                <w:color w:val="000000" w:themeColor="text1"/>
                <w:highlight w:val="none"/>
                <w14:textFill>
                  <w14:solidFill>
                    <w14:schemeClr w14:val="tx1"/>
                  </w14:solidFill>
                </w14:textFill>
              </w:rPr>
              <w:t>分）</w:t>
            </w:r>
          </w:p>
        </w:tc>
        <w:tc>
          <w:tcPr>
            <w:tcW w:w="2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C40C505">
            <w:pPr>
              <w:widowControl/>
              <w:spacing w:line="240" w:lineRule="auto"/>
              <w:jc w:val="center"/>
              <w:textAlignment w:val="center"/>
              <w:rPr>
                <w:rFonts w:hint="eastAsia" w:ascii="仿宋" w:hAnsi="仿宋" w:eastAsia="仿宋" w:cs="仿宋"/>
                <w:color w:val="000000" w:themeColor="text1"/>
                <w:spacing w:val="-2"/>
                <w:sz w:val="20"/>
                <w:szCs w:val="20"/>
                <w:highlight w:val="none"/>
                <w14:textFill>
                  <w14:solidFill>
                    <w14:schemeClr w14:val="tx1"/>
                  </w14:solidFill>
                </w14:textFill>
              </w:rPr>
            </w:pPr>
            <w:r>
              <w:rPr>
                <w:rFonts w:hint="eastAsia" w:ascii="仿宋" w:hAnsi="仿宋" w:eastAsia="仿宋" w:cs="仿宋"/>
                <w:color w:val="000000" w:themeColor="text1"/>
                <w:spacing w:val="-2"/>
                <w:sz w:val="20"/>
                <w:szCs w:val="20"/>
                <w:highlight w:val="none"/>
                <w14:textFill>
                  <w14:solidFill>
                    <w14:schemeClr w14:val="tx1"/>
                  </w14:solidFill>
                </w14:textFill>
              </w:rPr>
              <w:t>1、2023年1月1日至2025年12月31日重庆承销发行非金融企业债务融资工具</w:t>
            </w:r>
            <w:r>
              <w:rPr>
                <w:rFonts w:hint="eastAsia" w:ascii="仿宋" w:hAnsi="仿宋" w:eastAsia="仿宋" w:cs="仿宋"/>
                <w:color w:val="000000" w:themeColor="text1"/>
                <w:spacing w:val="-2"/>
                <w:sz w:val="20"/>
                <w:szCs w:val="20"/>
                <w:highlight w:val="none"/>
                <w:lang w:val="en-US" w:eastAsia="zh-CN"/>
                <w14:textFill>
                  <w14:solidFill>
                    <w14:schemeClr w14:val="tx1"/>
                  </w14:solidFill>
                </w14:textFill>
              </w:rPr>
              <w:t>承销</w:t>
            </w:r>
            <w:r>
              <w:rPr>
                <w:rFonts w:hint="eastAsia" w:ascii="仿宋" w:hAnsi="仿宋" w:eastAsia="仿宋" w:cs="仿宋"/>
                <w:color w:val="000000" w:themeColor="text1"/>
                <w:spacing w:val="-2"/>
                <w:sz w:val="20"/>
                <w:szCs w:val="20"/>
                <w:highlight w:val="none"/>
                <w14:textFill>
                  <w14:solidFill>
                    <w14:schemeClr w14:val="tx1"/>
                  </w14:solidFill>
                </w14:textFill>
              </w:rPr>
              <w:t>规模，每满</w:t>
            </w:r>
            <w:r>
              <w:rPr>
                <w:rFonts w:hint="eastAsia" w:ascii="仿宋" w:hAnsi="仿宋" w:eastAsia="仿宋" w:cs="仿宋"/>
                <w:color w:val="000000" w:themeColor="text1"/>
                <w:spacing w:val="-2"/>
                <w:sz w:val="20"/>
                <w:szCs w:val="20"/>
                <w:highlight w:val="none"/>
                <w:lang w:val="en-US" w:eastAsia="zh-CN"/>
                <w14:textFill>
                  <w14:solidFill>
                    <w14:schemeClr w14:val="tx1"/>
                  </w14:solidFill>
                </w14:textFill>
              </w:rPr>
              <w:t>20</w:t>
            </w:r>
            <w:r>
              <w:rPr>
                <w:rFonts w:hint="eastAsia" w:ascii="仿宋" w:hAnsi="仿宋" w:eastAsia="仿宋" w:cs="仿宋"/>
                <w:color w:val="000000" w:themeColor="text1"/>
                <w:spacing w:val="-2"/>
                <w:sz w:val="20"/>
                <w:szCs w:val="20"/>
                <w:highlight w:val="none"/>
                <w14:textFill>
                  <w14:solidFill>
                    <w14:schemeClr w14:val="tx1"/>
                  </w14:solidFill>
                </w14:textFill>
              </w:rPr>
              <w:t>亿得</w:t>
            </w:r>
            <w:r>
              <w:rPr>
                <w:rFonts w:hint="eastAsia" w:ascii="仿宋" w:hAnsi="仿宋" w:eastAsia="仿宋" w:cs="仿宋"/>
                <w:color w:val="000000" w:themeColor="text1"/>
                <w:spacing w:val="-2"/>
                <w:sz w:val="20"/>
                <w:szCs w:val="20"/>
                <w:highlight w:val="none"/>
                <w:lang w:val="en-US" w:eastAsia="zh-CN"/>
                <w14:textFill>
                  <w14:solidFill>
                    <w14:schemeClr w14:val="tx1"/>
                  </w14:solidFill>
                </w14:textFill>
              </w:rPr>
              <w:t>1</w:t>
            </w:r>
            <w:r>
              <w:rPr>
                <w:rFonts w:hint="eastAsia" w:ascii="仿宋" w:hAnsi="仿宋" w:eastAsia="仿宋" w:cs="仿宋"/>
                <w:color w:val="000000" w:themeColor="text1"/>
                <w:spacing w:val="-2"/>
                <w:sz w:val="20"/>
                <w:szCs w:val="20"/>
                <w:highlight w:val="none"/>
                <w14:textFill>
                  <w14:solidFill>
                    <w14:schemeClr w14:val="tx1"/>
                  </w14:solidFill>
                </w14:textFill>
              </w:rPr>
              <w:t>分，不足</w:t>
            </w:r>
            <w:r>
              <w:rPr>
                <w:rFonts w:hint="eastAsia" w:ascii="仿宋" w:hAnsi="仿宋" w:eastAsia="仿宋" w:cs="仿宋"/>
                <w:color w:val="000000" w:themeColor="text1"/>
                <w:spacing w:val="-2"/>
                <w:sz w:val="20"/>
                <w:szCs w:val="20"/>
                <w:highlight w:val="none"/>
                <w:lang w:val="en-US" w:eastAsia="zh-CN"/>
                <w14:textFill>
                  <w14:solidFill>
                    <w14:schemeClr w14:val="tx1"/>
                  </w14:solidFill>
                </w14:textFill>
              </w:rPr>
              <w:t>20</w:t>
            </w:r>
            <w:r>
              <w:rPr>
                <w:rFonts w:hint="eastAsia" w:ascii="仿宋" w:hAnsi="仿宋" w:eastAsia="仿宋" w:cs="仿宋"/>
                <w:color w:val="000000" w:themeColor="text1"/>
                <w:spacing w:val="-2"/>
                <w:sz w:val="20"/>
                <w:szCs w:val="20"/>
                <w:highlight w:val="none"/>
                <w14:textFill>
                  <w14:solidFill>
                    <w14:schemeClr w14:val="tx1"/>
                  </w14:solidFill>
                </w14:textFill>
              </w:rPr>
              <w:t>亿元不得分，最高得</w:t>
            </w:r>
            <w:r>
              <w:rPr>
                <w:rFonts w:hint="eastAsia" w:ascii="仿宋" w:hAnsi="仿宋" w:eastAsia="仿宋" w:cs="仿宋"/>
                <w:color w:val="000000" w:themeColor="text1"/>
                <w:spacing w:val="-2"/>
                <w:sz w:val="20"/>
                <w:szCs w:val="20"/>
                <w:highlight w:val="none"/>
                <w:lang w:val="en-US" w:eastAsia="zh-CN"/>
                <w14:textFill>
                  <w14:solidFill>
                    <w14:schemeClr w14:val="tx1"/>
                  </w14:solidFill>
                </w14:textFill>
              </w:rPr>
              <w:t>5</w:t>
            </w:r>
            <w:r>
              <w:rPr>
                <w:rFonts w:hint="eastAsia" w:ascii="仿宋" w:hAnsi="仿宋" w:eastAsia="仿宋" w:cs="仿宋"/>
                <w:color w:val="000000" w:themeColor="text1"/>
                <w:spacing w:val="-2"/>
                <w:sz w:val="20"/>
                <w:szCs w:val="20"/>
                <w:highlight w:val="none"/>
                <w14:textFill>
                  <w14:solidFill>
                    <w14:schemeClr w14:val="tx1"/>
                  </w14:solidFill>
                </w14:textFill>
              </w:rPr>
              <w:t>分；</w:t>
            </w:r>
          </w:p>
          <w:p w14:paraId="37C15B6F">
            <w:pPr>
              <w:widowControl/>
              <w:spacing w:line="240" w:lineRule="auto"/>
              <w:jc w:val="center"/>
              <w:textAlignment w:val="center"/>
              <w:rPr>
                <w:rFonts w:ascii="仿宋" w:hAnsi="仿宋" w:eastAsia="仿宋" w:cs="仿宋"/>
                <w:color w:val="000000" w:themeColor="text1"/>
                <w:spacing w:val="-2"/>
                <w:sz w:val="20"/>
                <w:szCs w:val="20"/>
                <w:highlight w:val="none"/>
                <w14:textFill>
                  <w14:solidFill>
                    <w14:schemeClr w14:val="tx1"/>
                  </w14:solidFill>
                </w14:textFill>
              </w:rPr>
            </w:pPr>
            <w:r>
              <w:rPr>
                <w:rFonts w:hint="eastAsia" w:ascii="仿宋" w:hAnsi="仿宋" w:eastAsia="仿宋" w:cs="仿宋"/>
                <w:color w:val="000000" w:themeColor="text1"/>
                <w:spacing w:val="-2"/>
                <w:sz w:val="20"/>
                <w:szCs w:val="20"/>
                <w:highlight w:val="none"/>
                <w14:textFill>
                  <w14:solidFill>
                    <w14:schemeClr w14:val="tx1"/>
                  </w14:solidFill>
                </w14:textFill>
              </w:rPr>
              <w:t>2、2023年1月1日至2025年12月31日重庆承销发行非金融企业债务融资工具发行只数，每满</w:t>
            </w:r>
            <w:r>
              <w:rPr>
                <w:rFonts w:hint="eastAsia" w:ascii="仿宋" w:hAnsi="仿宋" w:eastAsia="仿宋" w:cs="仿宋"/>
                <w:color w:val="000000" w:themeColor="text1"/>
                <w:spacing w:val="-2"/>
                <w:sz w:val="20"/>
                <w:szCs w:val="20"/>
                <w:highlight w:val="none"/>
                <w:lang w:val="en-US" w:eastAsia="zh-CN"/>
                <w14:textFill>
                  <w14:solidFill>
                    <w14:schemeClr w14:val="tx1"/>
                  </w14:solidFill>
                </w14:textFill>
              </w:rPr>
              <w:t>5</w:t>
            </w:r>
            <w:r>
              <w:rPr>
                <w:rFonts w:hint="eastAsia" w:ascii="仿宋" w:hAnsi="仿宋" w:eastAsia="仿宋" w:cs="仿宋"/>
                <w:color w:val="000000" w:themeColor="text1"/>
                <w:spacing w:val="-2"/>
                <w:sz w:val="20"/>
                <w:szCs w:val="20"/>
                <w:highlight w:val="none"/>
                <w14:textFill>
                  <w14:solidFill>
                    <w14:schemeClr w14:val="tx1"/>
                  </w14:solidFill>
                </w14:textFill>
              </w:rPr>
              <w:t>只得</w:t>
            </w:r>
            <w:r>
              <w:rPr>
                <w:rFonts w:hint="eastAsia" w:ascii="仿宋" w:hAnsi="仿宋" w:eastAsia="仿宋" w:cs="仿宋"/>
                <w:color w:val="000000" w:themeColor="text1"/>
                <w:spacing w:val="-2"/>
                <w:sz w:val="20"/>
                <w:szCs w:val="20"/>
                <w:highlight w:val="none"/>
                <w:lang w:val="en-US" w:eastAsia="zh-CN"/>
                <w14:textFill>
                  <w14:solidFill>
                    <w14:schemeClr w14:val="tx1"/>
                  </w14:solidFill>
                </w14:textFill>
              </w:rPr>
              <w:t>1</w:t>
            </w:r>
            <w:r>
              <w:rPr>
                <w:rFonts w:hint="eastAsia" w:ascii="仿宋" w:hAnsi="仿宋" w:eastAsia="仿宋" w:cs="仿宋"/>
                <w:color w:val="000000" w:themeColor="text1"/>
                <w:spacing w:val="-2"/>
                <w:sz w:val="20"/>
                <w:szCs w:val="20"/>
                <w:highlight w:val="none"/>
                <w14:textFill>
                  <w14:solidFill>
                    <w14:schemeClr w14:val="tx1"/>
                  </w14:solidFill>
                </w14:textFill>
              </w:rPr>
              <w:t>分，不足</w:t>
            </w:r>
            <w:r>
              <w:rPr>
                <w:rFonts w:hint="eastAsia" w:ascii="仿宋" w:hAnsi="仿宋" w:eastAsia="仿宋" w:cs="仿宋"/>
                <w:color w:val="000000" w:themeColor="text1"/>
                <w:spacing w:val="-2"/>
                <w:sz w:val="20"/>
                <w:szCs w:val="20"/>
                <w:highlight w:val="none"/>
                <w:lang w:val="en-US" w:eastAsia="zh-CN"/>
                <w14:textFill>
                  <w14:solidFill>
                    <w14:schemeClr w14:val="tx1"/>
                  </w14:solidFill>
                </w14:textFill>
              </w:rPr>
              <w:t>5</w:t>
            </w:r>
            <w:r>
              <w:rPr>
                <w:rFonts w:hint="eastAsia" w:ascii="仿宋" w:hAnsi="仿宋" w:eastAsia="仿宋" w:cs="仿宋"/>
                <w:color w:val="000000" w:themeColor="text1"/>
                <w:spacing w:val="-2"/>
                <w:sz w:val="20"/>
                <w:szCs w:val="20"/>
                <w:highlight w:val="none"/>
                <w14:textFill>
                  <w14:solidFill>
                    <w14:schemeClr w14:val="tx1"/>
                  </w14:solidFill>
                </w14:textFill>
              </w:rPr>
              <w:t>只不得分，最高得</w:t>
            </w:r>
            <w:r>
              <w:rPr>
                <w:rFonts w:hint="eastAsia" w:ascii="仿宋" w:hAnsi="仿宋" w:eastAsia="仿宋" w:cs="仿宋"/>
                <w:color w:val="000000" w:themeColor="text1"/>
                <w:spacing w:val="-2"/>
                <w:sz w:val="20"/>
                <w:szCs w:val="20"/>
                <w:highlight w:val="none"/>
                <w:lang w:val="en-US" w:eastAsia="zh-CN"/>
                <w14:textFill>
                  <w14:solidFill>
                    <w14:schemeClr w14:val="tx1"/>
                  </w14:solidFill>
                </w14:textFill>
              </w:rPr>
              <w:t>5</w:t>
            </w:r>
            <w:r>
              <w:rPr>
                <w:rFonts w:hint="eastAsia" w:ascii="仿宋" w:hAnsi="仿宋" w:eastAsia="仿宋" w:cs="仿宋"/>
                <w:color w:val="000000" w:themeColor="text1"/>
                <w:spacing w:val="-2"/>
                <w:sz w:val="20"/>
                <w:szCs w:val="20"/>
                <w:highlight w:val="none"/>
                <w14:textFill>
                  <w14:solidFill>
                    <w14:schemeClr w14:val="tx1"/>
                  </w14:solidFill>
                </w14:textFill>
              </w:rPr>
              <w:t>分。</w:t>
            </w:r>
          </w:p>
        </w:tc>
        <w:tc>
          <w:tcPr>
            <w:tcW w:w="12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2CDBBFB">
            <w:pPr>
              <w:widowControl/>
              <w:spacing w:line="240" w:lineRule="auto"/>
              <w:jc w:val="center"/>
              <w:rPr>
                <w:rFonts w:hint="eastAsia" w:ascii="方正仿宋_GBK" w:hAnsi="方正仿宋_GBK" w:eastAsia="方正仿宋_GBK" w:cs="方正仿宋_GBK"/>
                <w:color w:val="000000" w:themeColor="text1"/>
                <w:szCs w:val="21"/>
                <w:highlight w:val="none"/>
                <w14:textFill>
                  <w14:solidFill>
                    <w14:schemeClr w14:val="tx1"/>
                  </w14:solidFill>
                </w14:textFill>
              </w:rPr>
            </w:pPr>
          </w:p>
        </w:tc>
        <w:tc>
          <w:tcPr>
            <w:tcW w:w="268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B72F091">
            <w:pPr>
              <w:widowControl/>
              <w:spacing w:line="240" w:lineRule="auto"/>
              <w:jc w:val="center"/>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仿宋" w:hAnsi="仿宋" w:eastAsia="仿宋" w:cs="仿宋"/>
                <w:color w:val="000000" w:themeColor="text1"/>
                <w:spacing w:val="2"/>
                <w:sz w:val="15"/>
                <w:szCs w:val="15"/>
                <w:highlight w:val="none"/>
                <w14:textFill>
                  <w14:solidFill>
                    <w14:schemeClr w14:val="tx1"/>
                  </w14:solidFill>
                </w14:textFill>
              </w:rPr>
              <w:t>查询路径为：【</w:t>
            </w:r>
            <w:r>
              <w:rPr>
                <w:rFonts w:hint="eastAsia" w:ascii="方正仿宋_GBK" w:hAnsi="方正仿宋_GBK" w:eastAsia="方正仿宋_GBK" w:cs="方正仿宋_GBK"/>
                <w:color w:val="000000" w:themeColor="text1"/>
                <w:sz w:val="15"/>
                <w:szCs w:val="15"/>
                <w:highlight w:val="none"/>
                <w14:textFill>
                  <w14:solidFill>
                    <w14:schemeClr w14:val="tx1"/>
                  </w14:solidFill>
                </w14:textFill>
              </w:rPr>
              <w:t>WIND</w:t>
            </w:r>
            <w:r>
              <w:rPr>
                <w:rFonts w:hint="eastAsia" w:ascii="方正仿宋_GBK" w:hAnsi="方正仿宋_GBK" w:eastAsia="方正仿宋_GBK" w:cs="方正仿宋_GBK"/>
                <w:color w:val="000000" w:themeColor="text1"/>
                <w:sz w:val="15"/>
                <w:szCs w:val="15"/>
                <w:highlight w:val="none"/>
                <w:lang w:val="en-US" w:eastAsia="zh-CN"/>
                <w14:textFill>
                  <w14:solidFill>
                    <w14:schemeClr w14:val="tx1"/>
                  </w14:solidFill>
                </w14:textFill>
              </w:rPr>
              <w:t>-</w:t>
            </w:r>
            <w:r>
              <w:rPr>
                <w:rFonts w:hint="eastAsia" w:ascii="仿宋" w:hAnsi="仿宋" w:eastAsia="仿宋" w:cs="仿宋"/>
                <w:color w:val="000000" w:themeColor="text1"/>
                <w:spacing w:val="2"/>
                <w:sz w:val="15"/>
                <w:szCs w:val="15"/>
                <w:highlight w:val="none"/>
                <w14:textFill>
                  <w14:solidFill>
                    <w14:schemeClr w14:val="tx1"/>
                  </w14:solidFill>
                </w14:textFill>
              </w:rPr>
              <w:t>债券专题-一级市场—承销统计-机构全国业务统计，承销机构：投标人、债券分类：债券分类（Wind）（旧）勾选“中期票据”“短期融资券”“定向工具”、机构类型：全部、任意区间（2023年1月1日-2025年12月31日）】</w:t>
            </w:r>
            <w:r>
              <w:rPr>
                <w:rFonts w:hint="eastAsia" w:ascii="仿宋" w:hAnsi="仿宋" w:eastAsia="仿宋" w:cs="仿宋"/>
                <w:color w:val="000000" w:themeColor="text1"/>
                <w:spacing w:val="2"/>
                <w:sz w:val="15"/>
                <w:szCs w:val="15"/>
                <w:highlight w:val="none"/>
                <w:lang w:eastAsia="zh-CN"/>
                <w14:textFill>
                  <w14:solidFill>
                    <w14:schemeClr w14:val="tx1"/>
                  </w14:solidFill>
                </w14:textFill>
              </w:rPr>
              <w:t>。</w:t>
            </w:r>
            <w:r>
              <w:rPr>
                <w:rFonts w:hint="eastAsia" w:ascii="仿宋" w:hAnsi="仿宋" w:eastAsia="仿宋" w:cs="仿宋"/>
                <w:color w:val="000000" w:themeColor="text1"/>
                <w:spacing w:val="2"/>
                <w:sz w:val="15"/>
                <w:szCs w:val="15"/>
                <w:highlight w:val="none"/>
                <w14:textFill>
                  <w14:solidFill>
                    <w14:schemeClr w14:val="tx1"/>
                  </w14:solidFill>
                </w14:textFill>
              </w:rPr>
              <w:t>参选人需提供Wind数据截图并加盖公章</w:t>
            </w:r>
            <w:r>
              <w:rPr>
                <w:rFonts w:hint="eastAsia" w:ascii="仿宋" w:hAnsi="仿宋" w:eastAsia="仿宋" w:cs="仿宋"/>
                <w:color w:val="000000" w:themeColor="text1"/>
                <w:spacing w:val="2"/>
                <w:sz w:val="15"/>
                <w:szCs w:val="15"/>
                <w:highlight w:val="none"/>
                <w:lang w:eastAsia="zh-CN"/>
                <w14:textFill>
                  <w14:solidFill>
                    <w14:schemeClr w14:val="tx1"/>
                  </w14:solidFill>
                </w14:textFill>
              </w:rPr>
              <w:t>。</w:t>
            </w:r>
          </w:p>
        </w:tc>
      </w:tr>
      <w:tr w14:paraId="6F22EFAF">
        <w:tblPrEx>
          <w:tblCellMar>
            <w:top w:w="0" w:type="dxa"/>
            <w:left w:w="0" w:type="dxa"/>
            <w:bottom w:w="0" w:type="dxa"/>
            <w:right w:w="0" w:type="dxa"/>
          </w:tblCellMar>
        </w:tblPrEx>
        <w:trPr>
          <w:trHeight w:val="90" w:hRule="atLeast"/>
        </w:trPr>
        <w:tc>
          <w:tcPr>
            <w:tcW w:w="8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6731659">
            <w:pPr>
              <w:widowControl/>
              <w:spacing w:line="240" w:lineRule="auto"/>
              <w:jc w:val="center"/>
              <w:textAlignment w:val="center"/>
              <w:rPr>
                <w:rFonts w:hint="eastAsia" w:ascii="方正楷体_GBK" w:hAnsi="方正楷体_GBK" w:eastAsia="方正楷体_GBK" w:cs="方正楷体_GBK"/>
                <w:color w:val="000000" w:themeColor="text1"/>
                <w:szCs w:val="21"/>
                <w:highlight w:val="none"/>
                <w:lang w:eastAsia="zh-CN"/>
                <w14:textFill>
                  <w14:solidFill>
                    <w14:schemeClr w14:val="tx1"/>
                  </w14:solidFill>
                </w14:textFill>
              </w:rPr>
            </w:pPr>
            <w:r>
              <w:rPr>
                <w:rFonts w:hint="eastAsia" w:ascii="方正楷体_GBK" w:hAnsi="方正楷体_GBK" w:eastAsia="方正楷体_GBK" w:cs="方正楷体_GBK"/>
                <w:color w:val="000000" w:themeColor="text1"/>
                <w:kern w:val="0"/>
                <w:szCs w:val="21"/>
                <w:highlight w:val="none"/>
                <w:lang w:val="en-US" w:eastAsia="zh-CN" w:bidi="ar"/>
                <w14:textFill>
                  <w14:solidFill>
                    <w14:schemeClr w14:val="tx1"/>
                  </w14:solidFill>
                </w14:textFill>
              </w:rPr>
              <w:t>4</w:t>
            </w:r>
          </w:p>
        </w:tc>
        <w:tc>
          <w:tcPr>
            <w:tcW w:w="14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AC7D2B4">
            <w:pPr>
              <w:widowControl/>
              <w:spacing w:line="240" w:lineRule="auto"/>
              <w:jc w:val="center"/>
              <w:textAlignment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承销费率</w:t>
            </w:r>
          </w:p>
          <w:p w14:paraId="02A3083C">
            <w:pPr>
              <w:widowControl/>
              <w:spacing w:line="240" w:lineRule="auto"/>
              <w:jc w:val="center"/>
              <w:textAlignment w:val="center"/>
              <w:rPr>
                <w:rFonts w:hint="eastAsia" w:ascii="方正楷体_GBK" w:hAnsi="方正楷体_GBK" w:eastAsia="方正楷体_GBK" w:cs="方正楷体_GBK"/>
                <w:color w:val="000000" w:themeColor="text1"/>
                <w:szCs w:val="21"/>
                <w:highlight w:val="none"/>
                <w14:textFill>
                  <w14:solidFill>
                    <w14:schemeClr w14:val="tx1"/>
                  </w14:solidFill>
                </w14:textFill>
              </w:rPr>
            </w:pPr>
            <w:r>
              <w:rPr>
                <w:rFonts w:hint="eastAsia"/>
                <w:color w:val="000000" w:themeColor="text1"/>
                <w:highlight w:val="none"/>
                <w:lang w:bidi="ar"/>
                <w14:textFill>
                  <w14:solidFill>
                    <w14:schemeClr w14:val="tx1"/>
                  </w14:solidFill>
                </w14:textFill>
              </w:rPr>
              <w:t>（20</w:t>
            </w:r>
            <w:r>
              <w:rPr>
                <w:rFonts w:hint="eastAsia"/>
                <w:color w:val="000000" w:themeColor="text1"/>
                <w:highlight w:val="none"/>
                <w:lang w:val="en-US" w:eastAsia="zh-CN" w:bidi="ar"/>
                <w14:textFill>
                  <w14:solidFill>
                    <w14:schemeClr w14:val="tx1"/>
                  </w14:solidFill>
                </w14:textFill>
              </w:rPr>
              <w:t>分</w:t>
            </w:r>
            <w:r>
              <w:rPr>
                <w:rFonts w:hint="eastAsia"/>
                <w:color w:val="000000" w:themeColor="text1"/>
                <w:highlight w:val="none"/>
                <w:lang w:bidi="ar"/>
                <w14:textFill>
                  <w14:solidFill>
                    <w14:schemeClr w14:val="tx1"/>
                  </w14:solidFill>
                </w14:textFill>
              </w:rPr>
              <w:t>）</w:t>
            </w:r>
          </w:p>
        </w:tc>
        <w:tc>
          <w:tcPr>
            <w:tcW w:w="2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EA36829">
            <w:pPr>
              <w:widowControl/>
              <w:spacing w:line="240" w:lineRule="auto"/>
              <w:textAlignment w:val="center"/>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ascii="仿宋" w:hAnsi="仿宋" w:eastAsia="仿宋" w:cs="仿宋"/>
                <w:color w:val="000000" w:themeColor="text1"/>
                <w:spacing w:val="-5"/>
                <w:sz w:val="20"/>
                <w:szCs w:val="20"/>
                <w:highlight w:val="none"/>
                <w14:textFill>
                  <w14:solidFill>
                    <w14:schemeClr w14:val="tx1"/>
                  </w14:solidFill>
                </w14:textFill>
              </w:rPr>
              <w:t>满分</w:t>
            </w:r>
            <w:r>
              <w:rPr>
                <w:rFonts w:hint="eastAsia" w:ascii="仿宋" w:hAnsi="仿宋" w:eastAsia="仿宋" w:cs="仿宋"/>
                <w:color w:val="000000" w:themeColor="text1"/>
                <w:spacing w:val="-5"/>
                <w:sz w:val="20"/>
                <w:szCs w:val="20"/>
                <w:highlight w:val="none"/>
                <w14:textFill>
                  <w14:solidFill>
                    <w14:schemeClr w14:val="tx1"/>
                  </w14:solidFill>
                </w14:textFill>
              </w:rPr>
              <w:t>2</w:t>
            </w:r>
            <w:r>
              <w:rPr>
                <w:rFonts w:ascii="仿宋" w:hAnsi="仿宋" w:eastAsia="仿宋" w:cs="仿宋"/>
                <w:color w:val="000000" w:themeColor="text1"/>
                <w:spacing w:val="-5"/>
                <w:sz w:val="20"/>
                <w:szCs w:val="20"/>
                <w:highlight w:val="none"/>
                <w14:textFill>
                  <w14:solidFill>
                    <w14:schemeClr w14:val="tx1"/>
                  </w14:solidFill>
                </w14:textFill>
              </w:rPr>
              <w:t>0分，年承销费率以0.1%/年为基准，低于0.1%/</w:t>
            </w:r>
            <w:r>
              <w:rPr>
                <w:rFonts w:ascii="仿宋" w:hAnsi="仿宋" w:eastAsia="仿宋" w:cs="仿宋"/>
                <w:color w:val="000000" w:themeColor="text1"/>
                <w:spacing w:val="-3"/>
                <w:sz w:val="20"/>
                <w:szCs w:val="20"/>
                <w:highlight w:val="none"/>
                <w14:textFill>
                  <w14:solidFill>
                    <w14:schemeClr w14:val="tx1"/>
                  </w14:solidFill>
                </w14:textFill>
              </w:rPr>
              <w:t>年仍得20分，不另外加分。若承销费率高于0.1%/年，</w:t>
            </w:r>
            <w:r>
              <w:rPr>
                <w:rFonts w:ascii="仿宋" w:hAnsi="仿宋" w:eastAsia="仿宋" w:cs="仿宋"/>
                <w:color w:val="000000" w:themeColor="text1"/>
                <w:spacing w:val="1"/>
                <w:sz w:val="20"/>
                <w:szCs w:val="20"/>
                <w:highlight w:val="none"/>
                <w14:textFill>
                  <w14:solidFill>
                    <w14:schemeClr w14:val="tx1"/>
                  </w14:solidFill>
                </w14:textFill>
              </w:rPr>
              <w:t>按照0.01%及其整数倍递增，每增加0.01%，得分扣减</w:t>
            </w:r>
            <w:r>
              <w:rPr>
                <w:rFonts w:ascii="仿宋" w:hAnsi="仿宋" w:eastAsia="仿宋" w:cs="仿宋"/>
                <w:color w:val="000000" w:themeColor="text1"/>
                <w:spacing w:val="3"/>
                <w:sz w:val="20"/>
                <w:szCs w:val="20"/>
                <w:highlight w:val="none"/>
                <w14:textFill>
                  <w14:solidFill>
                    <w14:schemeClr w14:val="tx1"/>
                  </w14:solidFill>
                </w14:textFill>
              </w:rPr>
              <w:t>5分，直至扣至0分。不是按整数倍递增的，四舍五</w:t>
            </w:r>
            <w:r>
              <w:rPr>
                <w:rFonts w:ascii="仿宋" w:hAnsi="仿宋" w:eastAsia="仿宋" w:cs="仿宋"/>
                <w:color w:val="000000" w:themeColor="text1"/>
                <w:spacing w:val="7"/>
                <w:sz w:val="20"/>
                <w:szCs w:val="20"/>
                <w:highlight w:val="none"/>
                <w14:textFill>
                  <w14:solidFill>
                    <w14:schemeClr w14:val="tx1"/>
                  </w14:solidFill>
                </w14:textFill>
              </w:rPr>
              <w:t>入计算整数倍。不同意承销费率按年支付安排的，得</w:t>
            </w:r>
            <w:r>
              <w:rPr>
                <w:rFonts w:ascii="仿宋" w:hAnsi="仿宋" w:eastAsia="仿宋" w:cs="仿宋"/>
                <w:color w:val="000000" w:themeColor="text1"/>
                <w:spacing w:val="-6"/>
                <w:sz w:val="20"/>
                <w:szCs w:val="20"/>
                <w:highlight w:val="none"/>
                <w14:textFill>
                  <w14:solidFill>
                    <w14:schemeClr w14:val="tx1"/>
                  </w14:solidFill>
                </w14:textFill>
              </w:rPr>
              <w:t>0分。</w:t>
            </w:r>
          </w:p>
        </w:tc>
        <w:tc>
          <w:tcPr>
            <w:tcW w:w="12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B520CE2">
            <w:pPr>
              <w:widowControl/>
              <w:spacing w:line="240" w:lineRule="auto"/>
              <w:jc w:val="center"/>
              <w:rPr>
                <w:rFonts w:hint="eastAsia" w:ascii="方正仿宋_GBK" w:hAnsi="方正仿宋_GBK" w:eastAsia="方正仿宋_GBK" w:cs="方正仿宋_GBK"/>
                <w:color w:val="000000" w:themeColor="text1"/>
                <w:szCs w:val="21"/>
                <w:highlight w:val="none"/>
                <w14:textFill>
                  <w14:solidFill>
                    <w14:schemeClr w14:val="tx1"/>
                  </w14:solidFill>
                </w14:textFill>
              </w:rPr>
            </w:pPr>
          </w:p>
        </w:tc>
        <w:tc>
          <w:tcPr>
            <w:tcW w:w="268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CC1DFE9">
            <w:pPr>
              <w:widowControl/>
              <w:spacing w:line="240" w:lineRule="auto"/>
              <w:jc w:val="center"/>
              <w:rPr>
                <w:rFonts w:hint="eastAsia" w:ascii="方正仿宋_GBK" w:hAnsi="方正仿宋_GBK" w:eastAsia="方正仿宋_GBK" w:cs="方正仿宋_GBK"/>
                <w:color w:val="000000" w:themeColor="text1"/>
                <w:szCs w:val="21"/>
                <w:highlight w:val="none"/>
                <w14:textFill>
                  <w14:solidFill>
                    <w14:schemeClr w14:val="tx1"/>
                  </w14:solidFill>
                </w14:textFill>
              </w:rPr>
            </w:pPr>
          </w:p>
        </w:tc>
      </w:tr>
      <w:tr w14:paraId="4E67FC16">
        <w:tblPrEx>
          <w:tblCellMar>
            <w:top w:w="0" w:type="dxa"/>
            <w:left w:w="0" w:type="dxa"/>
            <w:bottom w:w="0" w:type="dxa"/>
            <w:right w:w="0" w:type="dxa"/>
          </w:tblCellMar>
        </w:tblPrEx>
        <w:trPr>
          <w:trHeight w:val="878" w:hRule="atLeast"/>
        </w:trPr>
        <w:tc>
          <w:tcPr>
            <w:tcW w:w="8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7B1A31E">
            <w:pPr>
              <w:widowControl/>
              <w:spacing w:line="240" w:lineRule="auto"/>
              <w:jc w:val="center"/>
              <w:textAlignment w:val="center"/>
              <w:rPr>
                <w:rFonts w:hint="eastAsia" w:ascii="方正楷体_GBK" w:hAnsi="方正楷体_GBK" w:eastAsia="方正楷体_GBK" w:cs="方正楷体_GBK"/>
                <w:color w:val="000000" w:themeColor="text1"/>
                <w:szCs w:val="21"/>
                <w:highlight w:val="none"/>
                <w:lang w:eastAsia="zh-CN"/>
                <w14:textFill>
                  <w14:solidFill>
                    <w14:schemeClr w14:val="tx1"/>
                  </w14:solidFill>
                </w14:textFill>
              </w:rPr>
            </w:pPr>
            <w:r>
              <w:rPr>
                <w:rFonts w:hint="eastAsia" w:ascii="方正楷体_GBK" w:hAnsi="方正楷体_GBK" w:eastAsia="方正楷体_GBK" w:cs="方正楷体_GBK"/>
                <w:color w:val="000000" w:themeColor="text1"/>
                <w:kern w:val="0"/>
                <w:szCs w:val="21"/>
                <w:highlight w:val="none"/>
                <w:lang w:val="en-US" w:eastAsia="zh-CN" w:bidi="ar"/>
                <w14:textFill>
                  <w14:solidFill>
                    <w14:schemeClr w14:val="tx1"/>
                  </w14:solidFill>
                </w14:textFill>
              </w:rPr>
              <w:t>5</w:t>
            </w:r>
          </w:p>
        </w:tc>
        <w:tc>
          <w:tcPr>
            <w:tcW w:w="14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B1381F9">
            <w:pPr>
              <w:widowControl/>
              <w:spacing w:line="240" w:lineRule="auto"/>
              <w:jc w:val="center"/>
              <w:textAlignment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发行方案</w:t>
            </w:r>
          </w:p>
          <w:p w14:paraId="5FA3833D">
            <w:pPr>
              <w:widowControl/>
              <w:spacing w:line="240" w:lineRule="auto"/>
              <w:jc w:val="center"/>
              <w:textAlignment w:val="center"/>
              <w:rPr>
                <w:rFonts w:hint="eastAsia" w:ascii="方正楷体_GBK" w:hAnsi="方正楷体_GBK" w:eastAsia="方正楷体_GBK" w:cs="方正楷体_GBK"/>
                <w:color w:val="000000" w:themeColor="text1"/>
                <w:szCs w:val="21"/>
                <w:highlight w:val="none"/>
                <w14:textFill>
                  <w14:solidFill>
                    <w14:schemeClr w14:val="tx1"/>
                  </w14:solidFill>
                </w14:textFill>
              </w:rPr>
            </w:pPr>
            <w:r>
              <w:rPr>
                <w:rFonts w:hint="eastAsia"/>
                <w:color w:val="000000" w:themeColor="text1"/>
                <w:highlight w:val="none"/>
                <w:lang w:bidi="ar"/>
                <w14:textFill>
                  <w14:solidFill>
                    <w14:schemeClr w14:val="tx1"/>
                  </w14:solidFill>
                </w14:textFill>
              </w:rPr>
              <w:t>（</w:t>
            </w:r>
            <w:r>
              <w:rPr>
                <w:rFonts w:hint="eastAsia"/>
                <w:color w:val="000000" w:themeColor="text1"/>
                <w:highlight w:val="none"/>
                <w:lang w:val="en-US" w:eastAsia="zh-CN" w:bidi="ar"/>
                <w14:textFill>
                  <w14:solidFill>
                    <w14:schemeClr w14:val="tx1"/>
                  </w14:solidFill>
                </w14:textFill>
              </w:rPr>
              <w:t>20分</w:t>
            </w:r>
            <w:r>
              <w:rPr>
                <w:rFonts w:hint="eastAsia"/>
                <w:color w:val="000000" w:themeColor="text1"/>
                <w:highlight w:val="none"/>
                <w:lang w:bidi="ar"/>
                <w14:textFill>
                  <w14:solidFill>
                    <w14:schemeClr w14:val="tx1"/>
                  </w14:solidFill>
                </w14:textFill>
              </w:rPr>
              <w:t>）</w:t>
            </w:r>
          </w:p>
        </w:tc>
        <w:tc>
          <w:tcPr>
            <w:tcW w:w="2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1392B9B">
            <w:pPr>
              <w:widowControl/>
              <w:spacing w:line="240" w:lineRule="auto"/>
              <w:textAlignment w:val="center"/>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ascii="仿宋" w:hAnsi="仿宋" w:eastAsia="仿宋" w:cs="仿宋"/>
                <w:color w:val="000000" w:themeColor="text1"/>
                <w:spacing w:val="9"/>
                <w:sz w:val="20"/>
                <w:szCs w:val="20"/>
                <w:highlight w:val="none"/>
                <w14:textFill>
                  <w14:solidFill>
                    <w14:schemeClr w14:val="tx1"/>
                  </w14:solidFill>
                </w14:textFill>
              </w:rPr>
              <w:t>应列出债券发行方案；发行工作时间安排计划表，从组织申报到发行成功每个阶段需要花费的时间预计以及各项工作安排；服务于本次债券发行的团队构成；</w:t>
            </w:r>
            <w:r>
              <w:rPr>
                <w:rFonts w:ascii="仿宋" w:hAnsi="仿宋" w:eastAsia="仿宋" w:cs="仿宋"/>
                <w:color w:val="000000" w:themeColor="text1"/>
                <w:spacing w:val="11"/>
                <w:sz w:val="20"/>
                <w:szCs w:val="20"/>
                <w:highlight w:val="none"/>
                <w14:textFill>
                  <w14:solidFill>
                    <w14:schemeClr w14:val="tx1"/>
                  </w14:solidFill>
                </w14:textFill>
              </w:rPr>
              <w:t>发行工作完成后的后续工作及服务。满分</w:t>
            </w:r>
            <w:r>
              <w:rPr>
                <w:rFonts w:hint="eastAsia" w:ascii="仿宋" w:hAnsi="仿宋" w:eastAsia="仿宋" w:cs="仿宋"/>
                <w:color w:val="000000" w:themeColor="text1"/>
                <w:spacing w:val="11"/>
                <w:sz w:val="20"/>
                <w:szCs w:val="20"/>
                <w:highlight w:val="none"/>
                <w:lang w:val="en-US" w:eastAsia="zh-CN"/>
                <w14:textFill>
                  <w14:solidFill>
                    <w14:schemeClr w14:val="tx1"/>
                  </w14:solidFill>
                </w14:textFill>
              </w:rPr>
              <w:t>20</w:t>
            </w:r>
            <w:r>
              <w:rPr>
                <w:rFonts w:ascii="仿宋" w:hAnsi="仿宋" w:eastAsia="仿宋" w:cs="仿宋"/>
                <w:color w:val="000000" w:themeColor="text1"/>
                <w:spacing w:val="-33"/>
                <w:sz w:val="20"/>
                <w:szCs w:val="20"/>
                <w:highlight w:val="none"/>
                <w14:textFill>
                  <w14:solidFill>
                    <w14:schemeClr w14:val="tx1"/>
                  </w14:solidFill>
                </w14:textFill>
              </w:rPr>
              <w:t xml:space="preserve"> </w:t>
            </w:r>
            <w:r>
              <w:rPr>
                <w:rFonts w:ascii="仿宋" w:hAnsi="仿宋" w:eastAsia="仿宋" w:cs="仿宋"/>
                <w:color w:val="000000" w:themeColor="text1"/>
                <w:spacing w:val="11"/>
                <w:sz w:val="20"/>
                <w:szCs w:val="20"/>
                <w:highlight w:val="none"/>
                <w14:textFill>
                  <w14:solidFill>
                    <w14:schemeClr w14:val="tx1"/>
                  </w14:solidFill>
                </w14:textFill>
              </w:rPr>
              <w:t>分，每</w:t>
            </w:r>
            <w:r>
              <w:rPr>
                <w:rFonts w:ascii="仿宋" w:hAnsi="仿宋" w:eastAsia="仿宋" w:cs="仿宋"/>
                <w:color w:val="000000" w:themeColor="text1"/>
                <w:spacing w:val="2"/>
                <w:sz w:val="20"/>
                <w:szCs w:val="20"/>
                <w:highlight w:val="none"/>
                <w14:textFill>
                  <w14:solidFill>
                    <w14:schemeClr w14:val="tx1"/>
                  </w14:solidFill>
                </w14:textFill>
              </w:rPr>
              <w:t>一项</w:t>
            </w:r>
            <w:r>
              <w:rPr>
                <w:rFonts w:hint="eastAsia" w:ascii="仿宋" w:hAnsi="仿宋" w:eastAsia="仿宋" w:cs="仿宋"/>
                <w:color w:val="000000" w:themeColor="text1"/>
                <w:spacing w:val="2"/>
                <w:sz w:val="20"/>
                <w:szCs w:val="20"/>
                <w:highlight w:val="none"/>
                <w:lang w:val="en-US" w:eastAsia="zh-CN"/>
                <w14:textFill>
                  <w14:solidFill>
                    <w14:schemeClr w14:val="tx1"/>
                  </w14:solidFill>
                </w14:textFill>
              </w:rPr>
              <w:t>0-5</w:t>
            </w:r>
            <w:r>
              <w:rPr>
                <w:rFonts w:ascii="仿宋" w:hAnsi="仿宋" w:eastAsia="仿宋" w:cs="仿宋"/>
                <w:color w:val="000000" w:themeColor="text1"/>
                <w:spacing w:val="2"/>
                <w:sz w:val="20"/>
                <w:szCs w:val="20"/>
                <w:highlight w:val="none"/>
                <w14:textFill>
                  <w14:solidFill>
                    <w14:schemeClr w14:val="tx1"/>
                  </w14:solidFill>
                </w14:textFill>
              </w:rPr>
              <w:t>分。</w:t>
            </w:r>
          </w:p>
        </w:tc>
        <w:tc>
          <w:tcPr>
            <w:tcW w:w="12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87D1DA7">
            <w:pPr>
              <w:widowControl/>
              <w:spacing w:line="240" w:lineRule="auto"/>
              <w:jc w:val="center"/>
              <w:rPr>
                <w:rFonts w:hint="eastAsia" w:ascii="方正仿宋_GBK" w:hAnsi="方正仿宋_GBK" w:eastAsia="方正仿宋_GBK" w:cs="方正仿宋_GBK"/>
                <w:color w:val="000000" w:themeColor="text1"/>
                <w:szCs w:val="21"/>
                <w:highlight w:val="none"/>
                <w14:textFill>
                  <w14:solidFill>
                    <w14:schemeClr w14:val="tx1"/>
                  </w14:solidFill>
                </w14:textFill>
              </w:rPr>
            </w:pPr>
          </w:p>
        </w:tc>
        <w:tc>
          <w:tcPr>
            <w:tcW w:w="268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61BFBBE">
            <w:pPr>
              <w:widowControl/>
              <w:spacing w:line="240" w:lineRule="auto"/>
              <w:jc w:val="center"/>
              <w:rPr>
                <w:rFonts w:hint="eastAsia" w:ascii="方正仿宋_GBK" w:hAnsi="方正仿宋_GBK" w:eastAsia="方正仿宋_GBK" w:cs="方正仿宋_GBK"/>
                <w:color w:val="000000" w:themeColor="text1"/>
                <w:szCs w:val="21"/>
                <w:highlight w:val="none"/>
                <w14:textFill>
                  <w14:solidFill>
                    <w14:schemeClr w14:val="tx1"/>
                  </w14:solidFill>
                </w14:textFill>
              </w:rPr>
            </w:pPr>
          </w:p>
        </w:tc>
      </w:tr>
      <w:tr w14:paraId="6CD4A88A">
        <w:tblPrEx>
          <w:tblCellMar>
            <w:top w:w="0" w:type="dxa"/>
            <w:left w:w="0" w:type="dxa"/>
            <w:bottom w:w="0" w:type="dxa"/>
            <w:right w:w="0" w:type="dxa"/>
          </w:tblCellMar>
        </w:tblPrEx>
        <w:trPr>
          <w:trHeight w:val="1640" w:hRule="atLeast"/>
        </w:trPr>
        <w:tc>
          <w:tcPr>
            <w:tcW w:w="8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3F76E71">
            <w:pPr>
              <w:widowControl/>
              <w:spacing w:line="240" w:lineRule="auto"/>
              <w:jc w:val="center"/>
              <w:textAlignment w:val="center"/>
              <w:rPr>
                <w:rFonts w:hint="eastAsia" w:ascii="方正楷体_GBK" w:hAnsi="方正楷体_GBK" w:eastAsia="方正楷体_GBK" w:cs="方正楷体_GBK"/>
                <w:color w:val="000000" w:themeColor="text1"/>
                <w:kern w:val="0"/>
                <w:szCs w:val="21"/>
                <w:highlight w:val="none"/>
                <w:lang w:val="en-US" w:eastAsia="zh-CN" w:bidi="ar"/>
                <w14:textFill>
                  <w14:solidFill>
                    <w14:schemeClr w14:val="tx1"/>
                  </w14:solidFill>
                </w14:textFill>
              </w:rPr>
            </w:pPr>
            <w:r>
              <w:rPr>
                <w:rFonts w:hint="eastAsia" w:ascii="方正楷体_GBK" w:hAnsi="方正楷体_GBK" w:eastAsia="方正楷体_GBK" w:cs="方正楷体_GBK"/>
                <w:color w:val="000000" w:themeColor="text1"/>
                <w:kern w:val="0"/>
                <w:szCs w:val="21"/>
                <w:highlight w:val="none"/>
                <w:lang w:val="en-US" w:eastAsia="zh-CN" w:bidi="ar"/>
                <w14:textFill>
                  <w14:solidFill>
                    <w14:schemeClr w14:val="tx1"/>
                  </w14:solidFill>
                </w14:textFill>
              </w:rPr>
              <w:t>6</w:t>
            </w:r>
          </w:p>
        </w:tc>
        <w:tc>
          <w:tcPr>
            <w:tcW w:w="14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6C5312B">
            <w:pPr>
              <w:widowControl/>
              <w:spacing w:line="240" w:lineRule="auto"/>
              <w:jc w:val="center"/>
              <w:textAlignment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债券违约情况</w:t>
            </w:r>
          </w:p>
          <w:p w14:paraId="0CF25BF3">
            <w:pPr>
              <w:widowControl/>
              <w:spacing w:line="240" w:lineRule="auto"/>
              <w:jc w:val="center"/>
              <w:textAlignment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分）</w:t>
            </w:r>
          </w:p>
        </w:tc>
        <w:tc>
          <w:tcPr>
            <w:tcW w:w="2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1928B65">
            <w:pPr>
              <w:widowControl/>
              <w:spacing w:line="240" w:lineRule="auto"/>
              <w:textAlignment w:val="center"/>
              <w:rPr>
                <w:rFonts w:ascii="仿宋" w:hAnsi="仿宋" w:eastAsia="仿宋" w:cs="仿宋"/>
                <w:color w:val="000000" w:themeColor="text1"/>
                <w:spacing w:val="3"/>
                <w:sz w:val="20"/>
                <w:szCs w:val="20"/>
                <w:highlight w:val="none"/>
                <w14:textFill>
                  <w14:solidFill>
                    <w14:schemeClr w14:val="tx1"/>
                  </w14:solidFill>
                </w14:textFill>
              </w:rPr>
            </w:pPr>
            <w:r>
              <w:rPr>
                <w:rFonts w:hint="eastAsia" w:ascii="仿宋" w:hAnsi="仿宋" w:eastAsia="仿宋" w:cs="仿宋"/>
                <w:color w:val="000000" w:themeColor="text1"/>
                <w:spacing w:val="3"/>
                <w:sz w:val="20"/>
                <w:szCs w:val="20"/>
                <w:highlight w:val="none"/>
                <w14:textFill>
                  <w14:solidFill>
                    <w14:schemeClr w14:val="tx1"/>
                  </w14:solidFill>
                </w14:textFill>
              </w:rPr>
              <w:t>根据供应商2023年1月1日至2025年12月31日作为主承销商在全国范围内发生的债券违约只数打分：违约只数为</w:t>
            </w:r>
            <w:r>
              <w:rPr>
                <w:rFonts w:hint="eastAsia" w:ascii="仿宋" w:hAnsi="仿宋" w:eastAsia="仿宋" w:cs="仿宋"/>
                <w:color w:val="000000" w:themeColor="text1"/>
                <w:spacing w:val="3"/>
                <w:sz w:val="20"/>
                <w:szCs w:val="20"/>
                <w:highlight w:val="none"/>
                <w:lang w:val="en-US" w:eastAsia="zh-CN"/>
                <w14:textFill>
                  <w14:solidFill>
                    <w14:schemeClr w14:val="tx1"/>
                  </w14:solidFill>
                </w14:textFill>
              </w:rPr>
              <w:t>2</w:t>
            </w:r>
            <w:r>
              <w:rPr>
                <w:rFonts w:hint="eastAsia" w:ascii="仿宋" w:hAnsi="仿宋" w:eastAsia="仿宋" w:cs="仿宋"/>
                <w:color w:val="000000" w:themeColor="text1"/>
                <w:spacing w:val="3"/>
                <w:sz w:val="20"/>
                <w:szCs w:val="20"/>
                <w:highlight w:val="none"/>
                <w14:textFill>
                  <w14:solidFill>
                    <w14:schemeClr w14:val="tx1"/>
                  </w14:solidFill>
                </w14:textFill>
              </w:rPr>
              <w:t>只</w:t>
            </w:r>
            <w:r>
              <w:rPr>
                <w:rFonts w:hint="eastAsia" w:ascii="仿宋" w:hAnsi="仿宋" w:eastAsia="仿宋" w:cs="仿宋"/>
                <w:color w:val="000000" w:themeColor="text1"/>
                <w:spacing w:val="3"/>
                <w:sz w:val="20"/>
                <w:szCs w:val="20"/>
                <w:highlight w:val="none"/>
                <w:lang w:val="en-US" w:eastAsia="zh-CN"/>
                <w14:textFill>
                  <w14:solidFill>
                    <w14:schemeClr w14:val="tx1"/>
                  </w14:solidFill>
                </w14:textFill>
              </w:rPr>
              <w:t>以内（含2只）</w:t>
            </w:r>
            <w:r>
              <w:rPr>
                <w:rFonts w:hint="eastAsia" w:ascii="仿宋" w:hAnsi="仿宋" w:eastAsia="仿宋" w:cs="仿宋"/>
                <w:color w:val="000000" w:themeColor="text1"/>
                <w:spacing w:val="3"/>
                <w:sz w:val="20"/>
                <w:szCs w:val="20"/>
                <w:highlight w:val="none"/>
                <w14:textFill>
                  <w14:solidFill>
                    <w14:schemeClr w14:val="tx1"/>
                  </w14:solidFill>
                </w14:textFill>
              </w:rPr>
              <w:t>的，得1</w:t>
            </w:r>
            <w:r>
              <w:rPr>
                <w:rFonts w:hint="eastAsia" w:ascii="仿宋" w:hAnsi="仿宋" w:eastAsia="仿宋" w:cs="仿宋"/>
                <w:color w:val="000000" w:themeColor="text1"/>
                <w:spacing w:val="3"/>
                <w:sz w:val="20"/>
                <w:szCs w:val="20"/>
                <w:highlight w:val="none"/>
                <w:lang w:val="en-US" w:eastAsia="zh-CN"/>
                <w14:textFill>
                  <w14:solidFill>
                    <w14:schemeClr w14:val="tx1"/>
                  </w14:solidFill>
                </w14:textFill>
              </w:rPr>
              <w:t>5</w:t>
            </w:r>
            <w:r>
              <w:rPr>
                <w:rFonts w:hint="eastAsia" w:ascii="仿宋" w:hAnsi="仿宋" w:eastAsia="仿宋" w:cs="仿宋"/>
                <w:color w:val="000000" w:themeColor="text1"/>
                <w:spacing w:val="3"/>
                <w:sz w:val="20"/>
                <w:szCs w:val="20"/>
                <w:highlight w:val="none"/>
                <w14:textFill>
                  <w14:solidFill>
                    <w14:schemeClr w14:val="tx1"/>
                  </w14:solidFill>
                </w14:textFill>
              </w:rPr>
              <w:t>分，每多1只扣</w:t>
            </w:r>
            <w:r>
              <w:rPr>
                <w:rFonts w:hint="eastAsia" w:ascii="仿宋" w:hAnsi="仿宋" w:eastAsia="仿宋" w:cs="仿宋"/>
                <w:color w:val="000000" w:themeColor="text1"/>
                <w:spacing w:val="3"/>
                <w:sz w:val="20"/>
                <w:szCs w:val="20"/>
                <w:highlight w:val="none"/>
                <w:lang w:val="en-US" w:eastAsia="zh-CN"/>
                <w14:textFill>
                  <w14:solidFill>
                    <w14:schemeClr w14:val="tx1"/>
                  </w14:solidFill>
                </w14:textFill>
              </w:rPr>
              <w:t>3</w:t>
            </w:r>
            <w:r>
              <w:rPr>
                <w:rFonts w:hint="eastAsia" w:ascii="仿宋" w:hAnsi="仿宋" w:eastAsia="仿宋" w:cs="仿宋"/>
                <w:color w:val="000000" w:themeColor="text1"/>
                <w:spacing w:val="3"/>
                <w:sz w:val="20"/>
                <w:szCs w:val="20"/>
                <w:highlight w:val="none"/>
                <w14:textFill>
                  <w14:solidFill>
                    <w14:schemeClr w14:val="tx1"/>
                  </w14:solidFill>
                </w14:textFill>
              </w:rPr>
              <w:t>分，扣完为止。</w:t>
            </w:r>
          </w:p>
        </w:tc>
        <w:tc>
          <w:tcPr>
            <w:tcW w:w="12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F06B74C">
            <w:pPr>
              <w:widowControl/>
              <w:spacing w:line="240" w:lineRule="auto"/>
              <w:jc w:val="center"/>
              <w:rPr>
                <w:rFonts w:hint="eastAsia" w:ascii="方正仿宋_GBK" w:hAnsi="方正仿宋_GBK" w:eastAsia="方正仿宋_GBK" w:cs="方正仿宋_GBK"/>
                <w:color w:val="000000" w:themeColor="text1"/>
                <w:szCs w:val="21"/>
                <w:highlight w:val="none"/>
                <w14:textFill>
                  <w14:solidFill>
                    <w14:schemeClr w14:val="tx1"/>
                  </w14:solidFill>
                </w14:textFill>
              </w:rPr>
            </w:pPr>
          </w:p>
        </w:tc>
        <w:tc>
          <w:tcPr>
            <w:tcW w:w="268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E6DFBAE">
            <w:pPr>
              <w:widowControl/>
              <w:spacing w:line="240" w:lineRule="auto"/>
              <w:jc w:val="left"/>
              <w:textAlignment w:val="center"/>
              <w:rPr>
                <w:rFonts w:hint="eastAsia" w:ascii="方正仿宋_GBK" w:hAnsi="方正仿宋_GBK" w:eastAsia="方正仿宋_GBK" w:cs="方正仿宋_GBK"/>
                <w:color w:val="000000" w:themeColor="text1"/>
                <w:sz w:val="15"/>
                <w:szCs w:val="15"/>
                <w:highlight w:val="none"/>
                <w14:textFill>
                  <w14:solidFill>
                    <w14:schemeClr w14:val="tx1"/>
                  </w14:solidFill>
                </w14:textFill>
              </w:rPr>
            </w:pPr>
            <w:r>
              <w:rPr>
                <w:rFonts w:hint="eastAsia" w:ascii="方正仿宋_GBK" w:hAnsi="方正仿宋_GBK" w:eastAsia="方正仿宋_GBK" w:cs="方正仿宋_GBK"/>
                <w:color w:val="000000" w:themeColor="text1"/>
                <w:sz w:val="15"/>
                <w:szCs w:val="15"/>
                <w:highlight w:val="none"/>
                <w14:textFill>
                  <w14:solidFill>
                    <w14:schemeClr w14:val="tx1"/>
                  </w14:solidFill>
                </w14:textFill>
              </w:rPr>
              <w:t>统计口径：Wind-债券-专题统计-信用债研究-债券违约-债券违约及展期大全-统计区间（2023年1月1日-2025年12月31日）；债券类型【全部】；企业性质【全部】；地区【全部】；主承销商搜索【采购人机构名】。同时需供应商提供wind截图并加盖公司公章；未按要求提供的不得分。</w:t>
            </w:r>
          </w:p>
        </w:tc>
      </w:tr>
      <w:tr w14:paraId="3D36D301">
        <w:tblPrEx>
          <w:tblCellMar>
            <w:top w:w="0" w:type="dxa"/>
            <w:left w:w="0" w:type="dxa"/>
            <w:bottom w:w="0" w:type="dxa"/>
            <w:right w:w="0" w:type="dxa"/>
          </w:tblCellMar>
        </w:tblPrEx>
        <w:trPr>
          <w:trHeight w:val="1926" w:hRule="atLeast"/>
        </w:trPr>
        <w:tc>
          <w:tcPr>
            <w:tcW w:w="8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29EE74A">
            <w:pPr>
              <w:widowControl/>
              <w:spacing w:line="240" w:lineRule="auto"/>
              <w:jc w:val="center"/>
              <w:textAlignment w:val="center"/>
              <w:rPr>
                <w:rFonts w:hint="eastAsia" w:ascii="方正楷体_GBK" w:hAnsi="方正楷体_GBK" w:eastAsia="方正楷体_GBK" w:cs="方正楷体_GBK"/>
                <w:color w:val="000000" w:themeColor="text1"/>
                <w:szCs w:val="21"/>
                <w:highlight w:val="none"/>
                <w:lang w:eastAsia="zh-CN"/>
                <w14:textFill>
                  <w14:solidFill>
                    <w14:schemeClr w14:val="tx1"/>
                  </w14:solidFill>
                </w14:textFill>
              </w:rPr>
            </w:pPr>
            <w:r>
              <w:rPr>
                <w:rFonts w:hint="eastAsia" w:ascii="方正楷体_GBK" w:hAnsi="方正楷体_GBK" w:eastAsia="方正楷体_GBK" w:cs="方正楷体_GBK"/>
                <w:color w:val="000000" w:themeColor="text1"/>
                <w:szCs w:val="21"/>
                <w:highlight w:val="none"/>
                <w:lang w:val="en-US" w:eastAsia="zh-CN"/>
                <w14:textFill>
                  <w14:solidFill>
                    <w14:schemeClr w14:val="tx1"/>
                  </w14:solidFill>
                </w14:textFill>
              </w:rPr>
              <w:t>7</w:t>
            </w:r>
          </w:p>
        </w:tc>
        <w:tc>
          <w:tcPr>
            <w:tcW w:w="14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1F03721">
            <w:pPr>
              <w:widowControl/>
              <w:spacing w:line="240" w:lineRule="auto"/>
              <w:jc w:val="center"/>
              <w:textAlignment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律所费用（</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w:t>
            </w:r>
          </w:p>
        </w:tc>
        <w:tc>
          <w:tcPr>
            <w:tcW w:w="2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40FC019">
            <w:pPr>
              <w:widowControl/>
              <w:spacing w:line="240" w:lineRule="auto"/>
              <w:jc w:val="left"/>
              <w:textAlignment w:val="center"/>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ascii="仿宋" w:hAnsi="仿宋" w:eastAsia="仿宋" w:cs="仿宋"/>
                <w:color w:val="000000" w:themeColor="text1"/>
                <w:spacing w:val="9"/>
                <w:sz w:val="20"/>
                <w:szCs w:val="20"/>
                <w:highlight w:val="none"/>
                <w14:textFill>
                  <w14:solidFill>
                    <w14:schemeClr w14:val="tx1"/>
                  </w14:solidFill>
                </w14:textFill>
              </w:rPr>
              <w:t>发债律所由金融机构确定，可由发行人支付律所费用，并在金融机构承销费中扣除。发债律所及费用是否由金融机构承担须在方案中说明清楚。愿意承担发债律所费用得</w:t>
            </w:r>
            <w:r>
              <w:rPr>
                <w:rFonts w:hint="eastAsia" w:ascii="仿宋" w:hAnsi="仿宋" w:eastAsia="仿宋" w:cs="仿宋"/>
                <w:color w:val="000000" w:themeColor="text1"/>
                <w:spacing w:val="9"/>
                <w:sz w:val="20"/>
                <w:szCs w:val="20"/>
                <w:highlight w:val="none"/>
                <w:lang w:val="en-US" w:eastAsia="zh-CN"/>
                <w14:textFill>
                  <w14:solidFill>
                    <w14:schemeClr w14:val="tx1"/>
                  </w14:solidFill>
                </w14:textFill>
              </w:rPr>
              <w:t>5</w:t>
            </w:r>
            <w:r>
              <w:rPr>
                <w:rFonts w:ascii="仿宋" w:hAnsi="仿宋" w:eastAsia="仿宋" w:cs="仿宋"/>
                <w:color w:val="000000" w:themeColor="text1"/>
                <w:spacing w:val="9"/>
                <w:sz w:val="20"/>
                <w:szCs w:val="20"/>
                <w:highlight w:val="none"/>
                <w14:textFill>
                  <w14:solidFill>
                    <w14:schemeClr w14:val="tx1"/>
                  </w14:solidFill>
                </w14:textFill>
              </w:rPr>
              <w:t>分，不愿意承担得0分。</w:t>
            </w:r>
          </w:p>
        </w:tc>
        <w:tc>
          <w:tcPr>
            <w:tcW w:w="12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9561415">
            <w:pPr>
              <w:widowControl/>
              <w:spacing w:line="240" w:lineRule="auto"/>
              <w:jc w:val="center"/>
              <w:rPr>
                <w:rFonts w:hint="eastAsia" w:ascii="方正仿宋_GBK" w:hAnsi="方正仿宋_GBK" w:eastAsia="方正仿宋_GBK" w:cs="方正仿宋_GBK"/>
                <w:color w:val="000000" w:themeColor="text1"/>
                <w:szCs w:val="21"/>
                <w:highlight w:val="none"/>
                <w14:textFill>
                  <w14:solidFill>
                    <w14:schemeClr w14:val="tx1"/>
                  </w14:solidFill>
                </w14:textFill>
              </w:rPr>
            </w:pPr>
          </w:p>
        </w:tc>
        <w:tc>
          <w:tcPr>
            <w:tcW w:w="268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3F96CD5">
            <w:pPr>
              <w:widowControl/>
              <w:spacing w:line="240" w:lineRule="auto"/>
              <w:rPr>
                <w:rFonts w:hint="eastAsia" w:ascii="方正仿宋_GBK" w:hAnsi="方正仿宋_GBK" w:eastAsia="方正仿宋_GBK" w:cs="方正仿宋_GBK"/>
                <w:color w:val="000000" w:themeColor="text1"/>
                <w:szCs w:val="21"/>
                <w:highlight w:val="none"/>
                <w14:textFill>
                  <w14:solidFill>
                    <w14:schemeClr w14:val="tx1"/>
                  </w14:solidFill>
                </w14:textFill>
              </w:rPr>
            </w:pPr>
          </w:p>
        </w:tc>
      </w:tr>
      <w:tr w14:paraId="12CC90ED">
        <w:tblPrEx>
          <w:tblCellMar>
            <w:top w:w="0" w:type="dxa"/>
            <w:left w:w="0" w:type="dxa"/>
            <w:bottom w:w="0" w:type="dxa"/>
            <w:right w:w="0" w:type="dxa"/>
          </w:tblCellMar>
        </w:tblPrEx>
        <w:trPr>
          <w:trHeight w:val="1926" w:hRule="atLeast"/>
        </w:trPr>
        <w:tc>
          <w:tcPr>
            <w:tcW w:w="8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C2E69F1">
            <w:pPr>
              <w:widowControl/>
              <w:spacing w:line="240" w:lineRule="auto"/>
              <w:jc w:val="center"/>
              <w:textAlignment w:val="center"/>
              <w:rPr>
                <w:rFonts w:hint="eastAsia" w:ascii="方正楷体_GBK" w:hAnsi="方正楷体_GBK" w:eastAsia="方正楷体_GBK" w:cs="方正楷体_GBK"/>
                <w:color w:val="000000" w:themeColor="text1"/>
                <w:szCs w:val="21"/>
                <w:highlight w:val="none"/>
                <w:lang w:eastAsia="zh-CN"/>
                <w14:textFill>
                  <w14:solidFill>
                    <w14:schemeClr w14:val="tx1"/>
                  </w14:solidFill>
                </w14:textFill>
              </w:rPr>
            </w:pPr>
            <w:r>
              <w:rPr>
                <w:rFonts w:hint="eastAsia" w:ascii="方正楷体_GBK" w:hAnsi="方正楷体_GBK" w:eastAsia="方正楷体_GBK" w:cs="方正楷体_GBK"/>
                <w:color w:val="000000" w:themeColor="text1"/>
                <w:szCs w:val="21"/>
                <w:highlight w:val="none"/>
                <w:lang w:val="en-US" w:eastAsia="zh-CN"/>
                <w14:textFill>
                  <w14:solidFill>
                    <w14:schemeClr w14:val="tx1"/>
                  </w14:solidFill>
                </w14:textFill>
              </w:rPr>
              <w:t>8</w:t>
            </w:r>
          </w:p>
        </w:tc>
        <w:tc>
          <w:tcPr>
            <w:tcW w:w="14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D497695">
            <w:pPr>
              <w:widowControl/>
              <w:spacing w:line="240" w:lineRule="auto"/>
              <w:jc w:val="center"/>
              <w:textAlignment w:val="center"/>
              <w:rPr>
                <w:color w:val="000000" w:themeColor="text1"/>
                <w:highlight w:val="none"/>
                <w14:textFill>
                  <w14:solidFill>
                    <w14:schemeClr w14:val="tx1"/>
                  </w14:solidFill>
                </w14:textFill>
              </w:rPr>
            </w:pPr>
            <w:r>
              <w:rPr>
                <w:color w:val="000000" w:themeColor="text1"/>
                <w:spacing w:val="-9"/>
                <w:highlight w:val="none"/>
                <w14:textFill>
                  <w14:solidFill>
                    <w14:schemeClr w14:val="tx1"/>
                  </w14:solidFill>
                </w14:textFill>
              </w:rPr>
              <w:t>评级费用（</w:t>
            </w:r>
            <w:r>
              <w:rPr>
                <w:rFonts w:hint="eastAsia" w:eastAsia="宋体"/>
                <w:color w:val="000000" w:themeColor="text1"/>
                <w:spacing w:val="-9"/>
                <w:highlight w:val="none"/>
                <w:lang w:val="en-US" w:eastAsia="zh-CN"/>
                <w14:textFill>
                  <w14:solidFill>
                    <w14:schemeClr w14:val="tx1"/>
                  </w14:solidFill>
                </w14:textFill>
              </w:rPr>
              <w:t>5</w:t>
            </w:r>
            <w:r>
              <w:rPr>
                <w:color w:val="000000" w:themeColor="text1"/>
                <w:spacing w:val="-9"/>
                <w:highlight w:val="none"/>
                <w14:textFill>
                  <w14:solidFill>
                    <w14:schemeClr w14:val="tx1"/>
                  </w14:solidFill>
                </w14:textFill>
              </w:rPr>
              <w:t>）</w:t>
            </w:r>
          </w:p>
        </w:tc>
        <w:tc>
          <w:tcPr>
            <w:tcW w:w="2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4EB2195">
            <w:pPr>
              <w:widowControl/>
              <w:spacing w:line="240" w:lineRule="auto"/>
              <w:jc w:val="left"/>
              <w:textAlignment w:val="center"/>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ascii="仿宋" w:hAnsi="仿宋" w:eastAsia="仿宋" w:cs="仿宋"/>
                <w:color w:val="000000" w:themeColor="text1"/>
                <w:spacing w:val="9"/>
                <w:sz w:val="20"/>
                <w:szCs w:val="20"/>
                <w:highlight w:val="none"/>
                <w14:textFill>
                  <w14:solidFill>
                    <w14:schemeClr w14:val="tx1"/>
                  </w14:solidFill>
                </w14:textFill>
              </w:rPr>
              <w:t>发债评级机构由金融机构确定，可由发行人支付评级费用，并在金融机构承销费中扣除。发债评级</w:t>
            </w:r>
            <w:r>
              <w:rPr>
                <w:rFonts w:ascii="仿宋" w:hAnsi="仿宋" w:eastAsia="仿宋" w:cs="仿宋"/>
                <w:color w:val="000000" w:themeColor="text1"/>
                <w:spacing w:val="19"/>
                <w:sz w:val="20"/>
                <w:szCs w:val="20"/>
                <w:highlight w:val="none"/>
                <w14:textFill>
                  <w14:solidFill>
                    <w14:schemeClr w14:val="tx1"/>
                  </w14:solidFill>
                </w14:textFill>
              </w:rPr>
              <w:t>机构及费用是否由金融机构承担须在方案中说明清</w:t>
            </w:r>
            <w:r>
              <w:rPr>
                <w:rFonts w:ascii="仿宋" w:hAnsi="仿宋" w:eastAsia="仿宋" w:cs="仿宋"/>
                <w:color w:val="000000" w:themeColor="text1"/>
                <w:spacing w:val="10"/>
                <w:sz w:val="20"/>
                <w:szCs w:val="20"/>
                <w:highlight w:val="none"/>
                <w14:textFill>
                  <w14:solidFill>
                    <w14:schemeClr w14:val="tx1"/>
                  </w14:solidFill>
                </w14:textFill>
              </w:rPr>
              <w:t>楚。愿意承担发债评级费用得</w:t>
            </w:r>
            <w:r>
              <w:rPr>
                <w:rFonts w:hint="eastAsia" w:ascii="仿宋" w:hAnsi="仿宋" w:eastAsia="仿宋" w:cs="仿宋"/>
                <w:color w:val="000000" w:themeColor="text1"/>
                <w:spacing w:val="10"/>
                <w:sz w:val="20"/>
                <w:szCs w:val="20"/>
                <w:highlight w:val="none"/>
                <w:lang w:val="en-US" w:eastAsia="zh-CN"/>
                <w14:textFill>
                  <w14:solidFill>
                    <w14:schemeClr w14:val="tx1"/>
                  </w14:solidFill>
                </w14:textFill>
              </w:rPr>
              <w:t>5</w:t>
            </w:r>
            <w:r>
              <w:rPr>
                <w:rFonts w:ascii="仿宋" w:hAnsi="仿宋" w:eastAsia="仿宋" w:cs="仿宋"/>
                <w:color w:val="000000" w:themeColor="text1"/>
                <w:spacing w:val="10"/>
                <w:sz w:val="20"/>
                <w:szCs w:val="20"/>
                <w:highlight w:val="none"/>
                <w14:textFill>
                  <w14:solidFill>
                    <w14:schemeClr w14:val="tx1"/>
                  </w14:solidFill>
                </w14:textFill>
              </w:rPr>
              <w:t>分，不愿意承担得0</w:t>
            </w:r>
            <w:r>
              <w:rPr>
                <w:rFonts w:ascii="仿宋" w:hAnsi="仿宋" w:eastAsia="仿宋" w:cs="仿宋"/>
                <w:color w:val="000000" w:themeColor="text1"/>
                <w:spacing w:val="-1"/>
                <w:sz w:val="20"/>
                <w:szCs w:val="20"/>
                <w:highlight w:val="none"/>
                <w14:textFill>
                  <w14:solidFill>
                    <w14:schemeClr w14:val="tx1"/>
                  </w14:solidFill>
                </w14:textFill>
              </w:rPr>
              <w:t>分。</w:t>
            </w:r>
          </w:p>
        </w:tc>
        <w:tc>
          <w:tcPr>
            <w:tcW w:w="12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9B8C483">
            <w:pPr>
              <w:widowControl/>
              <w:spacing w:line="240" w:lineRule="auto"/>
              <w:jc w:val="center"/>
              <w:rPr>
                <w:rFonts w:hint="eastAsia" w:ascii="方正仿宋_GBK" w:hAnsi="方正仿宋_GBK" w:eastAsia="方正仿宋_GBK" w:cs="方正仿宋_GBK"/>
                <w:color w:val="000000" w:themeColor="text1"/>
                <w:szCs w:val="21"/>
                <w:highlight w:val="none"/>
                <w14:textFill>
                  <w14:solidFill>
                    <w14:schemeClr w14:val="tx1"/>
                  </w14:solidFill>
                </w14:textFill>
              </w:rPr>
            </w:pPr>
          </w:p>
        </w:tc>
        <w:tc>
          <w:tcPr>
            <w:tcW w:w="268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1EB7EEA">
            <w:pPr>
              <w:widowControl/>
              <w:spacing w:line="240" w:lineRule="auto"/>
              <w:rPr>
                <w:rFonts w:hint="eastAsia" w:ascii="方正仿宋_GBK" w:hAnsi="方正仿宋_GBK" w:eastAsia="方正仿宋_GBK" w:cs="方正仿宋_GBK"/>
                <w:color w:val="000000" w:themeColor="text1"/>
                <w:szCs w:val="21"/>
                <w:highlight w:val="none"/>
                <w14:textFill>
                  <w14:solidFill>
                    <w14:schemeClr w14:val="tx1"/>
                  </w14:solidFill>
                </w14:textFill>
              </w:rPr>
            </w:pPr>
          </w:p>
        </w:tc>
      </w:tr>
      <w:tr w14:paraId="0F8C12BC">
        <w:tblPrEx>
          <w:tblCellMar>
            <w:top w:w="0" w:type="dxa"/>
            <w:left w:w="0" w:type="dxa"/>
            <w:bottom w:w="0" w:type="dxa"/>
            <w:right w:w="0" w:type="dxa"/>
          </w:tblCellMar>
        </w:tblPrEx>
        <w:trPr>
          <w:trHeight w:val="1926" w:hRule="atLeast"/>
        </w:trPr>
        <w:tc>
          <w:tcPr>
            <w:tcW w:w="8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1950377">
            <w:pPr>
              <w:widowControl/>
              <w:spacing w:line="240" w:lineRule="auto"/>
              <w:jc w:val="center"/>
              <w:textAlignment w:val="center"/>
              <w:rPr>
                <w:rFonts w:hint="eastAsia" w:ascii="方正楷体_GBK" w:hAnsi="方正楷体_GBK" w:eastAsia="方正楷体_GBK" w:cs="方正楷体_GBK"/>
                <w:color w:val="000000" w:themeColor="text1"/>
                <w:szCs w:val="21"/>
                <w:highlight w:val="none"/>
                <w14:textFill>
                  <w14:solidFill>
                    <w14:schemeClr w14:val="tx1"/>
                  </w14:solidFill>
                </w14:textFill>
              </w:rPr>
            </w:pPr>
            <w:r>
              <w:rPr>
                <w:rFonts w:hint="eastAsia" w:ascii="方正楷体_GBK" w:hAnsi="方正楷体_GBK" w:eastAsia="方正楷体_GBK" w:cs="方正楷体_GBK"/>
                <w:color w:val="000000" w:themeColor="text1"/>
                <w:szCs w:val="21"/>
                <w:highlight w:val="none"/>
                <w14:textFill>
                  <w14:solidFill>
                    <w14:schemeClr w14:val="tx1"/>
                  </w14:solidFill>
                </w14:textFill>
              </w:rPr>
              <w:t>合计</w:t>
            </w:r>
          </w:p>
        </w:tc>
        <w:tc>
          <w:tcPr>
            <w:tcW w:w="14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A6ED3C4">
            <w:pPr>
              <w:widowControl/>
              <w:spacing w:line="240" w:lineRule="auto"/>
              <w:jc w:val="center"/>
              <w:textAlignment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100</w:t>
            </w:r>
          </w:p>
        </w:tc>
        <w:tc>
          <w:tcPr>
            <w:tcW w:w="27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72C96D1">
            <w:pPr>
              <w:widowControl/>
              <w:spacing w:line="240" w:lineRule="auto"/>
              <w:jc w:val="left"/>
              <w:textAlignment w:val="center"/>
              <w:rPr>
                <w:rFonts w:hint="eastAsia" w:ascii="方正仿宋_GBK" w:hAnsi="方正仿宋_GBK" w:eastAsia="方正仿宋_GBK" w:cs="方正仿宋_GBK"/>
                <w:color w:val="000000" w:themeColor="text1"/>
                <w:szCs w:val="21"/>
                <w:highlight w:val="none"/>
                <w14:textFill>
                  <w14:solidFill>
                    <w14:schemeClr w14:val="tx1"/>
                  </w14:solidFill>
                </w14:textFill>
              </w:rPr>
            </w:pPr>
          </w:p>
        </w:tc>
        <w:tc>
          <w:tcPr>
            <w:tcW w:w="12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A6B5EAC">
            <w:pPr>
              <w:widowControl/>
              <w:spacing w:line="240" w:lineRule="auto"/>
              <w:jc w:val="center"/>
              <w:rPr>
                <w:rFonts w:hint="eastAsia" w:ascii="方正仿宋_GBK" w:hAnsi="方正仿宋_GBK" w:eastAsia="方正仿宋_GBK" w:cs="方正仿宋_GBK"/>
                <w:color w:val="000000" w:themeColor="text1"/>
                <w:szCs w:val="21"/>
                <w:highlight w:val="none"/>
                <w14:textFill>
                  <w14:solidFill>
                    <w14:schemeClr w14:val="tx1"/>
                  </w14:solidFill>
                </w14:textFill>
              </w:rPr>
            </w:pPr>
          </w:p>
        </w:tc>
        <w:tc>
          <w:tcPr>
            <w:tcW w:w="268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A850A8B">
            <w:pPr>
              <w:widowControl/>
              <w:spacing w:line="240" w:lineRule="auto"/>
              <w:rPr>
                <w:rFonts w:hint="eastAsia" w:ascii="方正仿宋_GBK" w:hAnsi="方正仿宋_GBK" w:eastAsia="方正仿宋_GBK" w:cs="方正仿宋_GBK"/>
                <w:color w:val="000000" w:themeColor="text1"/>
                <w:szCs w:val="21"/>
                <w:highlight w:val="none"/>
                <w14:textFill>
                  <w14:solidFill>
                    <w14:schemeClr w14:val="tx1"/>
                  </w14:solidFill>
                </w14:textFill>
              </w:rPr>
            </w:pPr>
          </w:p>
        </w:tc>
      </w:tr>
    </w:tbl>
    <w:p w14:paraId="4D041F34">
      <w:pPr>
        <w:pStyle w:val="4"/>
        <w:ind w:left="360" w:hanging="360" w:hangingChars="200"/>
        <w:rPr>
          <w:rFonts w:hint="eastAsia" w:ascii="仿宋" w:hAnsi="仿宋" w:eastAsia="仿宋" w:cs="仿宋"/>
          <w:b w:val="0"/>
          <w:bCs/>
          <w:color w:val="000000" w:themeColor="text1"/>
          <w:sz w:val="18"/>
          <w:szCs w:val="18"/>
          <w:highlight w:val="none"/>
          <w14:textFill>
            <w14:solidFill>
              <w14:schemeClr w14:val="tx1"/>
            </w14:solidFill>
          </w14:textFill>
        </w:rPr>
      </w:pPr>
      <w:r>
        <w:rPr>
          <w:rFonts w:hint="eastAsia" w:ascii="仿宋" w:hAnsi="仿宋" w:eastAsia="仿宋" w:cs="仿宋"/>
          <w:b w:val="0"/>
          <w:bCs/>
          <w:color w:val="000000" w:themeColor="text1"/>
          <w:sz w:val="18"/>
          <w:szCs w:val="18"/>
          <w:highlight w:val="none"/>
          <w14:textFill>
            <w14:solidFill>
              <w14:schemeClr w14:val="tx1"/>
            </w14:solidFill>
          </w14:textFill>
        </w:rPr>
        <w:t xml:space="preserve">                                                                                                                                                                                                                                         </w:t>
      </w:r>
    </w:p>
    <w:p w14:paraId="7DDFDF1E">
      <w:pPr>
        <w:pStyle w:val="4"/>
        <w:rPr>
          <w:rFonts w:hint="eastAsia" w:ascii="仿宋" w:hAnsi="仿宋" w:eastAsia="仿宋" w:cs="仿宋"/>
          <w:b w:val="0"/>
          <w:bCs/>
          <w:color w:val="000000" w:themeColor="text1"/>
          <w:sz w:val="18"/>
          <w:szCs w:val="18"/>
          <w:highlight w:val="none"/>
          <w14:textFill>
            <w14:solidFill>
              <w14:schemeClr w14:val="tx1"/>
            </w14:solidFill>
          </w14:textFill>
        </w:rPr>
      </w:pPr>
      <w:r>
        <w:rPr>
          <w:rFonts w:hint="eastAsia" w:ascii="仿宋" w:hAnsi="仿宋" w:eastAsia="仿宋" w:cs="仿宋"/>
          <w:b w:val="0"/>
          <w:bCs/>
          <w:color w:val="000000" w:themeColor="text1"/>
          <w:sz w:val="18"/>
          <w:szCs w:val="18"/>
          <w:highlight w:val="none"/>
          <w14:textFill>
            <w14:solidFill>
              <w14:schemeClr w14:val="tx1"/>
            </w14:solidFill>
          </w14:textFill>
        </w:rPr>
        <w:t xml:space="preserve">                                                                                                                                                                                                                                   </w:t>
      </w:r>
    </w:p>
    <w:p w14:paraId="2E7D402A">
      <w:pPr>
        <w:pStyle w:val="4"/>
        <w:ind w:left="360" w:hanging="360" w:hangingChars="200"/>
        <w:rPr>
          <w:rFonts w:hint="eastAsia" w:ascii="仿宋" w:hAnsi="仿宋" w:eastAsia="仿宋" w:cs="仿宋"/>
          <w:b w:val="0"/>
          <w:bCs/>
          <w:color w:val="000000" w:themeColor="text1"/>
          <w:sz w:val="18"/>
          <w:szCs w:val="18"/>
          <w:highlight w:val="none"/>
          <w14:textFill>
            <w14:solidFill>
              <w14:schemeClr w14:val="tx1"/>
            </w14:solidFill>
          </w14:textFill>
        </w:rPr>
      </w:pPr>
    </w:p>
    <w:p w14:paraId="6CC41782">
      <w:pPr>
        <w:pStyle w:val="4"/>
        <w:ind w:left="360" w:hanging="360" w:hangingChars="200"/>
        <w:rPr>
          <w:rFonts w:hint="eastAsia" w:ascii="仿宋" w:hAnsi="仿宋" w:eastAsia="仿宋" w:cs="仿宋"/>
          <w:b w:val="0"/>
          <w:bCs/>
          <w:color w:val="000000" w:themeColor="text1"/>
          <w:sz w:val="18"/>
          <w:szCs w:val="18"/>
          <w:highlight w:val="none"/>
          <w14:textFill>
            <w14:solidFill>
              <w14:schemeClr w14:val="tx1"/>
            </w14:solidFill>
          </w14:textFill>
        </w:rPr>
        <w:sectPr>
          <w:headerReference r:id="rId4" w:type="default"/>
          <w:pgSz w:w="11906" w:h="16838"/>
          <w:pgMar w:top="1701" w:right="1803" w:bottom="1588" w:left="1803" w:header="851" w:footer="992" w:gutter="0"/>
          <w:pgNumType w:start="1"/>
          <w:cols w:space="720" w:num="1"/>
          <w:titlePg/>
          <w:docGrid w:type="linesAndChars" w:linePitch="319" w:charSpace="0"/>
        </w:sectPr>
      </w:pPr>
      <w:r>
        <w:rPr>
          <w:rFonts w:hint="eastAsia" w:ascii="仿宋" w:hAnsi="仿宋" w:eastAsia="仿宋" w:cs="仿宋"/>
          <w:b w:val="0"/>
          <w:bCs/>
          <w:color w:val="000000" w:themeColor="text1"/>
          <w:sz w:val="18"/>
          <w:szCs w:val="18"/>
          <w:highlight w:val="none"/>
          <w14:textFill>
            <w14:solidFill>
              <w14:schemeClr w14:val="tx1"/>
            </w14:solidFill>
          </w14:textFill>
        </w:rPr>
        <w:t xml:space="preserve">                                                       </w:t>
      </w:r>
    </w:p>
    <w:p w14:paraId="5FFA8CF0">
      <w:pPr>
        <w:rPr>
          <w:rFonts w:hint="eastAsia" w:ascii="仿宋" w:hAnsi="仿宋" w:eastAsia="仿宋" w:cs="仿宋"/>
          <w:bCs/>
          <w:color w:val="000000" w:themeColor="text1"/>
          <w:sz w:val="18"/>
          <w:szCs w:val="18"/>
          <w:highlight w:val="none"/>
          <w14:textFill>
            <w14:solidFill>
              <w14:schemeClr w14:val="tx1"/>
            </w14:solidFill>
          </w14:textFill>
        </w:rPr>
      </w:pPr>
    </w:p>
    <w:p w14:paraId="7C801525">
      <w:pPr>
        <w:numPr>
          <w:ilvl w:val="0"/>
          <w:numId w:val="1"/>
        </w:numPr>
        <w:spacing w:line="360" w:lineRule="auto"/>
        <w:jc w:val="center"/>
        <w:rPr>
          <w:rFonts w:hint="eastAsia" w:ascii="仿宋_GB2312" w:hAnsi="宋体" w:eastAsia="仿宋_GB2312"/>
          <w:b/>
          <w:color w:val="000000" w:themeColor="text1"/>
          <w:sz w:val="36"/>
          <w:highlight w:val="none"/>
          <w14:textFill>
            <w14:solidFill>
              <w14:schemeClr w14:val="tx1"/>
            </w14:solidFill>
          </w14:textFill>
        </w:rPr>
      </w:pPr>
      <w:r>
        <w:rPr>
          <w:rFonts w:hint="eastAsia" w:ascii="仿宋_GB2312" w:hAnsi="宋体" w:eastAsia="仿宋_GB2312"/>
          <w:b/>
          <w:color w:val="000000" w:themeColor="text1"/>
          <w:sz w:val="36"/>
          <w:highlight w:val="none"/>
          <w14:textFill>
            <w14:solidFill>
              <w14:schemeClr w14:val="tx1"/>
            </w14:solidFill>
          </w14:textFill>
        </w:rPr>
        <w:t>投标文件格式</w:t>
      </w:r>
    </w:p>
    <w:p w14:paraId="51F8A400">
      <w:pPr>
        <w:rPr>
          <w:rFonts w:hint="eastAsia" w:ascii="仿宋_GB2312" w:hAnsi="仿宋_GB2312" w:eastAsia="仿宋_GB2312" w:cs="仿宋_GB2312"/>
          <w:b/>
          <w:color w:val="000000" w:themeColor="text1"/>
          <w:sz w:val="32"/>
          <w:highlight w:val="none"/>
          <w14:textFill>
            <w14:solidFill>
              <w14:schemeClr w14:val="tx1"/>
            </w14:solidFill>
          </w14:textFill>
        </w:rPr>
      </w:pPr>
    </w:p>
    <w:p w14:paraId="5371A270">
      <w:pPr>
        <w:rPr>
          <w:rFonts w:hint="eastAsia" w:ascii="仿宋_GB2312" w:hAnsi="仿宋_GB2312" w:eastAsia="仿宋_GB2312" w:cs="仿宋_GB2312"/>
          <w:b/>
          <w:color w:val="000000" w:themeColor="text1"/>
          <w:spacing w:val="20"/>
          <w:sz w:val="36"/>
          <w:highlight w:val="none"/>
          <w14:textFill>
            <w14:solidFill>
              <w14:schemeClr w14:val="tx1"/>
            </w14:solidFill>
          </w14:textFill>
        </w:rPr>
      </w:pPr>
      <w:r>
        <w:rPr>
          <w:rFonts w:hint="eastAsia" w:ascii="仿宋_GB2312" w:hAnsi="仿宋_GB2312" w:eastAsia="仿宋_GB2312" w:cs="仿宋_GB2312"/>
          <w:b/>
          <w:color w:val="000000" w:themeColor="text1"/>
          <w:sz w:val="32"/>
          <w:highlight w:val="none"/>
          <w14:textFill>
            <w14:solidFill>
              <w14:schemeClr w14:val="tx1"/>
            </w14:solidFill>
          </w14:textFill>
        </w:rPr>
        <w:t>投标函部分格式</w:t>
      </w:r>
      <w:r>
        <w:rPr>
          <w:rFonts w:hint="eastAsia" w:ascii="仿宋_GB2312" w:hAnsi="仿宋_GB2312" w:eastAsia="仿宋_GB2312" w:cs="仿宋_GB2312"/>
          <w:b/>
          <w:color w:val="000000" w:themeColor="text1"/>
          <w:spacing w:val="20"/>
          <w:sz w:val="36"/>
          <w:highlight w:val="none"/>
          <w14:textFill>
            <w14:solidFill>
              <w14:schemeClr w14:val="tx1"/>
            </w14:solidFill>
          </w14:textFill>
        </w:rPr>
        <w:t>：</w:t>
      </w:r>
    </w:p>
    <w:p w14:paraId="3ABB79FA">
      <w:pPr>
        <w:jc w:val="left"/>
        <w:rPr>
          <w:rFonts w:hint="eastAsia" w:ascii="黑体" w:hAnsi="黑体" w:eastAsia="黑体"/>
          <w:b/>
          <w:color w:val="000000" w:themeColor="text1"/>
          <w:sz w:val="44"/>
          <w:szCs w:val="44"/>
          <w:highlight w:val="none"/>
          <w14:textFill>
            <w14:solidFill>
              <w14:schemeClr w14:val="tx1"/>
            </w14:solidFill>
          </w14:textFill>
        </w:rPr>
      </w:pPr>
    </w:p>
    <w:p w14:paraId="6775A0BC">
      <w:pPr>
        <w:jc w:val="left"/>
        <w:rPr>
          <w:rFonts w:hint="eastAsia" w:ascii="黑体" w:hAnsi="黑体" w:eastAsia="黑体"/>
          <w:b/>
          <w:color w:val="000000" w:themeColor="text1"/>
          <w:sz w:val="44"/>
          <w:szCs w:val="44"/>
          <w:highlight w:val="none"/>
          <w14:textFill>
            <w14:solidFill>
              <w14:schemeClr w14:val="tx1"/>
            </w14:solidFill>
          </w14:textFill>
        </w:rPr>
      </w:pPr>
    </w:p>
    <w:p w14:paraId="688B96F2">
      <w:pPr>
        <w:jc w:val="center"/>
        <w:rPr>
          <w:rFonts w:hint="eastAsia" w:ascii="黑体" w:hAnsi="黑体" w:eastAsia="黑体"/>
          <w:b/>
          <w:color w:val="000000" w:themeColor="text1"/>
          <w:sz w:val="28"/>
          <w:szCs w:val="44"/>
          <w:highlight w:val="none"/>
          <w14:textFill>
            <w14:solidFill>
              <w14:schemeClr w14:val="tx1"/>
            </w14:solidFill>
          </w14:textFill>
        </w:rPr>
      </w:pPr>
      <w:r>
        <w:rPr>
          <w:rFonts w:hint="eastAsia" w:ascii="仿宋_GB2312" w:hAnsi="仿宋_GB2312" w:eastAsia="仿宋_GB2312" w:cs="仿宋_GB2312"/>
          <w:b/>
          <w:color w:val="000000" w:themeColor="text1"/>
          <w:kern w:val="0"/>
          <w:sz w:val="28"/>
          <w:highlight w:val="none"/>
          <w:u w:val="single"/>
          <w14:textFill>
            <w14:solidFill>
              <w14:schemeClr w14:val="tx1"/>
            </w14:solidFill>
          </w14:textFill>
        </w:rPr>
        <w:t>项目名称</w:t>
      </w:r>
    </w:p>
    <w:p w14:paraId="3FEBD36E">
      <w:pPr>
        <w:tabs>
          <w:tab w:val="left" w:pos="3600"/>
          <w:tab w:val="left" w:pos="4480"/>
          <w:tab w:val="left" w:pos="5360"/>
        </w:tabs>
        <w:autoSpaceDE w:val="0"/>
        <w:autoSpaceDN w:val="0"/>
        <w:adjustRightInd w:val="0"/>
        <w:snapToGrid w:val="0"/>
        <w:spacing w:line="360" w:lineRule="auto"/>
        <w:jc w:val="center"/>
        <w:rPr>
          <w:rFonts w:hint="eastAsia" w:ascii="仿宋_GB2312" w:hAnsi="仿宋_GB2312" w:eastAsia="仿宋_GB2312" w:cs="仿宋_GB2312"/>
          <w:b/>
          <w:color w:val="000000" w:themeColor="text1"/>
          <w:kern w:val="0"/>
          <w:sz w:val="84"/>
          <w:highlight w:val="none"/>
          <w14:textFill>
            <w14:solidFill>
              <w14:schemeClr w14:val="tx1"/>
            </w14:solidFill>
          </w14:textFill>
        </w:rPr>
      </w:pPr>
      <w:r>
        <w:rPr>
          <w:rFonts w:hint="eastAsia" w:ascii="仿宋_GB2312" w:hAnsi="仿宋_GB2312" w:eastAsia="仿宋_GB2312" w:cs="仿宋_GB2312"/>
          <w:b/>
          <w:color w:val="000000" w:themeColor="text1"/>
          <w:kern w:val="0"/>
          <w:sz w:val="84"/>
          <w:highlight w:val="none"/>
          <w14:textFill>
            <w14:solidFill>
              <w14:schemeClr w14:val="tx1"/>
            </w14:solidFill>
          </w14:textFill>
        </w:rPr>
        <w:t>投标文件</w:t>
      </w:r>
    </w:p>
    <w:p w14:paraId="20C81104">
      <w:pPr>
        <w:autoSpaceDE w:val="0"/>
        <w:autoSpaceDN w:val="0"/>
        <w:adjustRightInd w:val="0"/>
        <w:snapToGrid w:val="0"/>
        <w:spacing w:line="360" w:lineRule="auto"/>
        <w:jc w:val="center"/>
        <w:rPr>
          <w:rFonts w:hint="eastAsia" w:ascii="仿宋_GB2312" w:hAnsi="仿宋_GB2312" w:eastAsia="仿宋_GB2312" w:cs="仿宋_GB2312"/>
          <w:b/>
          <w:color w:val="000000" w:themeColor="text1"/>
          <w:kern w:val="0"/>
          <w:sz w:val="36"/>
          <w:highlight w:val="none"/>
          <w14:textFill>
            <w14:solidFill>
              <w14:schemeClr w14:val="tx1"/>
            </w14:solidFill>
          </w14:textFill>
        </w:rPr>
      </w:pPr>
    </w:p>
    <w:p w14:paraId="4A57B419">
      <w:pPr>
        <w:jc w:val="center"/>
        <w:rPr>
          <w:rFonts w:hint="eastAsia" w:ascii="黑体" w:hAnsi="黑体" w:eastAsia="黑体"/>
          <w:b/>
          <w:color w:val="000000" w:themeColor="text1"/>
          <w:sz w:val="28"/>
          <w:szCs w:val="44"/>
          <w:highlight w:val="none"/>
          <w14:textFill>
            <w14:solidFill>
              <w14:schemeClr w14:val="tx1"/>
            </w14:solidFill>
          </w14:textFill>
        </w:rPr>
      </w:pPr>
    </w:p>
    <w:p w14:paraId="2491A298">
      <w:pPr>
        <w:rPr>
          <w:color w:val="000000" w:themeColor="text1"/>
          <w:highlight w:val="none"/>
          <w14:textFill>
            <w14:solidFill>
              <w14:schemeClr w14:val="tx1"/>
            </w14:solidFill>
          </w14:textFill>
        </w:rPr>
      </w:pPr>
    </w:p>
    <w:p w14:paraId="6414FE10">
      <w:pPr>
        <w:rPr>
          <w:color w:val="000000" w:themeColor="text1"/>
          <w:highlight w:val="none"/>
          <w14:textFill>
            <w14:solidFill>
              <w14:schemeClr w14:val="tx1"/>
            </w14:solidFill>
          </w14:textFill>
        </w:rPr>
      </w:pPr>
    </w:p>
    <w:p w14:paraId="54E7BA15">
      <w:pPr>
        <w:rPr>
          <w:color w:val="000000" w:themeColor="text1"/>
          <w:highlight w:val="none"/>
          <w14:textFill>
            <w14:solidFill>
              <w14:schemeClr w14:val="tx1"/>
            </w14:solidFill>
          </w14:textFill>
        </w:rPr>
      </w:pPr>
    </w:p>
    <w:p w14:paraId="4C18A0B3">
      <w:pPr>
        <w:tabs>
          <w:tab w:val="left" w:pos="6080"/>
          <w:tab w:val="left" w:pos="6640"/>
        </w:tabs>
        <w:autoSpaceDE w:val="0"/>
        <w:autoSpaceDN w:val="0"/>
        <w:adjustRightInd w:val="0"/>
        <w:snapToGrid w:val="0"/>
        <w:spacing w:line="360" w:lineRule="auto"/>
        <w:jc w:val="center"/>
        <w:rPr>
          <w:rFonts w:hint="eastAsia" w:ascii="仿宋_GB2312" w:hAnsi="仿宋_GB2312" w:eastAsia="仿宋_GB2312" w:cs="仿宋_GB2312"/>
          <w:b/>
          <w:color w:val="000000" w:themeColor="text1"/>
          <w:kern w:val="0"/>
          <w:sz w:val="28"/>
          <w:highlight w:val="none"/>
          <w:u w:val="single"/>
          <w14:textFill>
            <w14:solidFill>
              <w14:schemeClr w14:val="tx1"/>
            </w14:solidFill>
          </w14:textFill>
        </w:rPr>
      </w:pPr>
      <w:r>
        <w:rPr>
          <w:rFonts w:hint="eastAsia" w:ascii="仿宋_GB2312" w:hAnsi="仿宋_GB2312" w:eastAsia="仿宋_GB2312" w:cs="仿宋_GB2312"/>
          <w:b/>
          <w:color w:val="000000" w:themeColor="text1"/>
          <w:kern w:val="0"/>
          <w:sz w:val="28"/>
          <w:highlight w:val="none"/>
          <w14:textFill>
            <w14:solidFill>
              <w14:schemeClr w14:val="tx1"/>
            </w14:solidFill>
          </w14:textFill>
        </w:rPr>
        <w:t>投标单位：</w:t>
      </w:r>
      <w:r>
        <w:rPr>
          <w:rFonts w:hint="eastAsia" w:ascii="仿宋_GB2312" w:hAnsi="仿宋_GB2312" w:eastAsia="仿宋_GB2312" w:cs="仿宋_GB2312"/>
          <w:b/>
          <w:color w:val="000000" w:themeColor="text1"/>
          <w:kern w:val="0"/>
          <w:sz w:val="28"/>
          <w:highlight w:val="none"/>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kern w:val="0"/>
          <w:sz w:val="28"/>
          <w:highlight w:val="none"/>
          <w:u w:val="single"/>
          <w14:textFill>
            <w14:solidFill>
              <w14:schemeClr w14:val="tx1"/>
            </w14:solidFill>
          </w14:textFill>
        </w:rPr>
        <w:t>（盖章）</w:t>
      </w:r>
    </w:p>
    <w:p w14:paraId="556596E0">
      <w:pPr>
        <w:tabs>
          <w:tab w:val="left" w:pos="6080"/>
          <w:tab w:val="left" w:pos="6640"/>
        </w:tabs>
        <w:autoSpaceDE w:val="0"/>
        <w:autoSpaceDN w:val="0"/>
        <w:adjustRightInd w:val="0"/>
        <w:snapToGrid w:val="0"/>
        <w:spacing w:line="360" w:lineRule="auto"/>
        <w:jc w:val="center"/>
        <w:rPr>
          <w:rFonts w:hint="eastAsia" w:ascii="仿宋_GB2312" w:hAnsi="仿宋_GB2312" w:eastAsia="仿宋_GB2312" w:cs="仿宋_GB2312"/>
          <w:b/>
          <w:color w:val="000000" w:themeColor="text1"/>
          <w:kern w:val="0"/>
          <w:sz w:val="28"/>
          <w:highlight w:val="none"/>
          <w14:textFill>
            <w14:solidFill>
              <w14:schemeClr w14:val="tx1"/>
            </w14:solidFill>
          </w14:textFill>
        </w:rPr>
      </w:pPr>
      <w:r>
        <w:rPr>
          <w:rFonts w:hint="eastAsia" w:ascii="仿宋_GB2312" w:hAnsi="仿宋_GB2312" w:eastAsia="仿宋_GB2312" w:cs="仿宋_GB2312"/>
          <w:b/>
          <w:color w:val="000000" w:themeColor="text1"/>
          <w:kern w:val="0"/>
          <w:sz w:val="28"/>
          <w:highlight w:val="none"/>
          <w14:textFill>
            <w14:solidFill>
              <w14:schemeClr w14:val="tx1"/>
            </w14:solidFill>
          </w14:textFill>
        </w:rPr>
        <w:t>法定代表人/负责人或其委托代理人：</w:t>
      </w:r>
    </w:p>
    <w:p w14:paraId="77FBD955">
      <w:pPr>
        <w:tabs>
          <w:tab w:val="left" w:pos="3280"/>
          <w:tab w:val="left" w:pos="4680"/>
          <w:tab w:val="left" w:pos="6080"/>
        </w:tabs>
        <w:autoSpaceDE w:val="0"/>
        <w:autoSpaceDN w:val="0"/>
        <w:adjustRightInd w:val="0"/>
        <w:snapToGrid w:val="0"/>
        <w:spacing w:line="360" w:lineRule="auto"/>
        <w:jc w:val="center"/>
        <w:rPr>
          <w:rFonts w:hint="eastAsia" w:ascii="仿宋_GB2312" w:hAnsi="仿宋_GB2312" w:eastAsia="仿宋_GB2312" w:cs="仿宋_GB2312"/>
          <w:b/>
          <w:color w:val="000000" w:themeColor="text1"/>
          <w:kern w:val="0"/>
          <w:sz w:val="28"/>
          <w:highlight w:val="none"/>
          <w14:textFill>
            <w14:solidFill>
              <w14:schemeClr w14:val="tx1"/>
            </w14:solidFill>
          </w14:textFill>
        </w:rPr>
        <w:sectPr>
          <w:pgSz w:w="11906" w:h="16838"/>
          <w:pgMar w:top="1701" w:right="1803" w:bottom="1588" w:left="1803" w:header="851" w:footer="992" w:gutter="0"/>
          <w:pgNumType w:start="1"/>
          <w:cols w:space="720" w:num="1"/>
          <w:titlePg/>
          <w:docGrid w:type="linesAndChars" w:linePitch="319" w:charSpace="0"/>
        </w:sectPr>
      </w:pPr>
      <w:r>
        <w:rPr>
          <w:rFonts w:hint="eastAsia" w:ascii="仿宋_GB2312" w:hAnsi="仿宋_GB2312" w:eastAsia="仿宋_GB2312" w:cs="仿宋_GB2312"/>
          <w:b/>
          <w:color w:val="000000" w:themeColor="text1"/>
          <w:kern w:val="0"/>
          <w:sz w:val="28"/>
          <w:highlight w:val="none"/>
          <w:u w:val="single"/>
          <w14:textFill>
            <w14:solidFill>
              <w14:schemeClr w14:val="tx1"/>
            </w14:solidFill>
          </w14:textFill>
        </w:rPr>
        <w:t xml:space="preserve">     　</w:t>
      </w:r>
      <w:r>
        <w:rPr>
          <w:rFonts w:hint="eastAsia" w:ascii="仿宋_GB2312" w:hAnsi="仿宋_GB2312" w:eastAsia="仿宋_GB2312" w:cs="仿宋_GB2312"/>
          <w:b/>
          <w:color w:val="000000" w:themeColor="text1"/>
          <w:kern w:val="0"/>
          <w:sz w:val="28"/>
          <w:highlight w:val="none"/>
          <w14:textFill>
            <w14:solidFill>
              <w14:schemeClr w14:val="tx1"/>
            </w14:solidFill>
          </w14:textFill>
        </w:rPr>
        <w:t>年</w:t>
      </w:r>
      <w:r>
        <w:rPr>
          <w:rFonts w:hint="eastAsia" w:ascii="仿宋_GB2312" w:hAnsi="仿宋_GB2312" w:eastAsia="仿宋_GB2312" w:cs="仿宋_GB2312"/>
          <w:b/>
          <w:color w:val="000000" w:themeColor="text1"/>
          <w:kern w:val="0"/>
          <w:sz w:val="28"/>
          <w:highlight w:val="none"/>
          <w:u w:val="single"/>
          <w14:textFill>
            <w14:solidFill>
              <w14:schemeClr w14:val="tx1"/>
            </w14:solidFill>
          </w14:textFill>
        </w:rPr>
        <w:t xml:space="preserve">   </w:t>
      </w:r>
      <w:r>
        <w:rPr>
          <w:rFonts w:hint="eastAsia" w:ascii="仿宋_GB2312" w:hAnsi="仿宋_GB2312" w:eastAsia="仿宋_GB2312" w:cs="仿宋_GB2312"/>
          <w:b/>
          <w:color w:val="000000" w:themeColor="text1"/>
          <w:kern w:val="0"/>
          <w:sz w:val="28"/>
          <w:highlight w:val="none"/>
          <w14:textFill>
            <w14:solidFill>
              <w14:schemeClr w14:val="tx1"/>
            </w14:solidFill>
          </w14:textFill>
        </w:rPr>
        <w:t>月</w:t>
      </w:r>
      <w:r>
        <w:rPr>
          <w:rFonts w:hint="eastAsia" w:ascii="仿宋_GB2312" w:hAnsi="仿宋_GB2312" w:eastAsia="仿宋_GB2312" w:cs="仿宋_GB2312"/>
          <w:b/>
          <w:color w:val="000000" w:themeColor="text1"/>
          <w:kern w:val="0"/>
          <w:sz w:val="28"/>
          <w:highlight w:val="none"/>
          <w:u w:val="single"/>
          <w14:textFill>
            <w14:solidFill>
              <w14:schemeClr w14:val="tx1"/>
            </w14:solidFill>
          </w14:textFill>
        </w:rPr>
        <w:t xml:space="preserve">   </w:t>
      </w:r>
      <w:r>
        <w:rPr>
          <w:rFonts w:hint="eastAsia" w:ascii="仿宋_GB2312" w:hAnsi="仿宋_GB2312" w:eastAsia="仿宋_GB2312" w:cs="仿宋_GB2312"/>
          <w:b/>
          <w:color w:val="000000" w:themeColor="text1"/>
          <w:kern w:val="0"/>
          <w:sz w:val="28"/>
          <w:highlight w:val="none"/>
          <w14:textFill>
            <w14:solidFill>
              <w14:schemeClr w14:val="tx1"/>
            </w14:solidFill>
          </w14:textFill>
        </w:rPr>
        <w:t>日</w:t>
      </w:r>
    </w:p>
    <w:p w14:paraId="3C4773AC">
      <w:pPr>
        <w:pStyle w:val="4"/>
        <w:jc w:val="center"/>
        <w:rPr>
          <w:rFonts w:hint="eastAsia" w:ascii="宋体" w:hAnsi="宋体" w:cs="宋体"/>
          <w:color w:val="000000" w:themeColor="text1"/>
          <w:sz w:val="28"/>
          <w:highlight w:val="none"/>
          <w14:textFill>
            <w14:solidFill>
              <w14:schemeClr w14:val="tx1"/>
            </w14:solidFill>
          </w14:textFill>
        </w:rPr>
      </w:pPr>
      <w:bookmarkStart w:id="25" w:name="_Toc334349123"/>
      <w:bookmarkStart w:id="26" w:name="_Toc336093170"/>
      <w:bookmarkStart w:id="27" w:name="_Toc7868"/>
      <w:bookmarkStart w:id="28" w:name="_Toc338263126"/>
      <w:r>
        <w:rPr>
          <w:rFonts w:hint="eastAsia" w:ascii="宋体" w:hAnsi="宋体" w:cs="宋体"/>
          <w:color w:val="000000" w:themeColor="text1"/>
          <w:sz w:val="28"/>
          <w:highlight w:val="none"/>
          <w14:textFill>
            <w14:solidFill>
              <w14:schemeClr w14:val="tx1"/>
            </w14:solidFill>
          </w14:textFill>
        </w:rPr>
        <w:t>（一） 投标函</w:t>
      </w:r>
      <w:bookmarkEnd w:id="25"/>
      <w:bookmarkEnd w:id="26"/>
      <w:bookmarkEnd w:id="27"/>
      <w:bookmarkEnd w:id="28"/>
    </w:p>
    <w:p w14:paraId="5A2A697D">
      <w:pPr>
        <w:rPr>
          <w:color w:val="000000" w:themeColor="text1"/>
          <w:highlight w:val="none"/>
          <w14:textFill>
            <w14:solidFill>
              <w14:schemeClr w14:val="tx1"/>
            </w14:solidFill>
          </w14:textFill>
        </w:rPr>
      </w:pPr>
    </w:p>
    <w:p w14:paraId="3D432AD0">
      <w:pPr>
        <w:wordWrap w:val="0"/>
        <w:snapToGrid w:val="0"/>
        <w:spacing w:line="360" w:lineRule="auto"/>
        <w:ind w:firstLine="482"/>
        <w:jc w:val="left"/>
        <w:rPr>
          <w:rFonts w:hint="eastAsia" w:ascii="仿宋_GB2312" w:hAnsi="仿宋_GB2312" w:eastAsia="仿宋_GB2312" w:cs="仿宋_GB2312"/>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Cs/>
          <w:color w:val="000000" w:themeColor="text1"/>
          <w:sz w:val="30"/>
          <w:szCs w:val="30"/>
          <w:highlight w:val="none"/>
          <w:u w:val="single"/>
          <w14:textFill>
            <w14:solidFill>
              <w14:schemeClr w14:val="tx1"/>
            </w14:solidFill>
          </w14:textFill>
        </w:rPr>
        <w:t xml:space="preserve">                   </w:t>
      </w:r>
      <w:r>
        <w:rPr>
          <w:rFonts w:hint="eastAsia" w:ascii="仿宋_GB2312" w:hAnsi="仿宋_GB2312" w:eastAsia="仿宋_GB2312" w:cs="仿宋_GB2312"/>
          <w:bCs/>
          <w:color w:val="000000" w:themeColor="text1"/>
          <w:sz w:val="30"/>
          <w:szCs w:val="30"/>
          <w:highlight w:val="none"/>
          <w14:textFill>
            <w14:solidFill>
              <w14:schemeClr w14:val="tx1"/>
            </w14:solidFill>
          </w14:textFill>
        </w:rPr>
        <w:t>公司：</w:t>
      </w:r>
    </w:p>
    <w:p w14:paraId="57BCFA2F">
      <w:pPr>
        <w:wordWrap w:val="0"/>
        <w:snapToGrid w:val="0"/>
        <w:spacing w:line="360" w:lineRule="auto"/>
        <w:ind w:firstLine="482"/>
        <w:jc w:val="left"/>
        <w:rPr>
          <w:rFonts w:hint="eastAsia" w:ascii="仿宋_GB2312" w:hAnsi="仿宋_GB2312" w:eastAsia="仿宋_GB2312" w:cs="仿宋_GB2312"/>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Cs/>
          <w:color w:val="000000" w:themeColor="text1"/>
          <w:sz w:val="30"/>
          <w:szCs w:val="30"/>
          <w:highlight w:val="none"/>
          <w14:textFill>
            <w14:solidFill>
              <w14:schemeClr w14:val="tx1"/>
            </w14:solidFill>
          </w14:textFill>
        </w:rPr>
        <w:t>1.根据你方重庆国际物流枢纽园区建设有限责任公司</w:t>
      </w:r>
      <w:r>
        <w:rPr>
          <w:rFonts w:hint="eastAsia" w:ascii="仿宋_GB2312" w:hAnsi="仿宋_GB2312" w:eastAsia="仿宋_GB2312" w:cs="仿宋_GB2312"/>
          <w:bCs/>
          <w:color w:val="000000" w:themeColor="text1"/>
          <w:sz w:val="30"/>
          <w:szCs w:val="30"/>
          <w:highlight w:val="none"/>
          <w:u w:val="single"/>
          <w14:textFill>
            <w14:solidFill>
              <w14:schemeClr w14:val="tx1"/>
            </w14:solidFill>
          </w14:textFill>
        </w:rPr>
        <w:t xml:space="preserve">               </w:t>
      </w:r>
      <w:r>
        <w:rPr>
          <w:rFonts w:hint="eastAsia" w:ascii="仿宋_GB2312" w:hAnsi="仿宋_GB2312" w:eastAsia="仿宋_GB2312" w:cs="仿宋_GB2312"/>
          <w:bCs/>
          <w:color w:val="000000" w:themeColor="text1"/>
          <w:sz w:val="30"/>
          <w:szCs w:val="30"/>
          <w:highlight w:val="none"/>
          <w14:textFill>
            <w14:solidFill>
              <w14:schemeClr w14:val="tx1"/>
            </w14:solidFill>
          </w14:textFill>
        </w:rPr>
        <w:t xml:space="preserve">，遵照《中华人民共和国招标投标法》等有关法律法规的规定，经研究招标文件及其相应的补遗资料、书面通知等规定后，结合本项目实际情况和市场行情，我方于本项目承销费率投标报价为 </w:t>
      </w:r>
      <w:r>
        <w:rPr>
          <w:rFonts w:hint="eastAsia" w:ascii="仿宋_GB2312" w:hAnsi="仿宋_GB2312" w:eastAsia="仿宋_GB2312" w:cs="仿宋_GB2312"/>
          <w:bCs/>
          <w:color w:val="000000" w:themeColor="text1"/>
          <w:sz w:val="30"/>
          <w:szCs w:val="30"/>
          <w:highlight w:val="none"/>
          <w:u w:val="single"/>
          <w14:textFill>
            <w14:solidFill>
              <w14:schemeClr w14:val="tx1"/>
            </w14:solidFill>
          </w14:textFill>
        </w:rPr>
        <w:t xml:space="preserve">     </w:t>
      </w:r>
      <w:r>
        <w:rPr>
          <w:rFonts w:hint="eastAsia" w:ascii="仿宋_GB2312" w:hAnsi="仿宋_GB2312" w:eastAsia="仿宋_GB2312" w:cs="仿宋_GB2312"/>
          <w:bCs/>
          <w:color w:val="000000" w:themeColor="text1"/>
          <w:sz w:val="30"/>
          <w:szCs w:val="30"/>
          <w:highlight w:val="none"/>
          <w14:textFill>
            <w14:solidFill>
              <w14:schemeClr w14:val="tx1"/>
            </w14:solidFill>
          </w14:textFill>
        </w:rPr>
        <w:t xml:space="preserve">%/年。并按上述招标文件规定的条件和要求完成合同规定的全部工作内容和承担相关的责任。              </w:t>
      </w:r>
    </w:p>
    <w:p w14:paraId="46FD60FB">
      <w:pPr>
        <w:wordWrap w:val="0"/>
        <w:snapToGrid w:val="0"/>
        <w:spacing w:line="360" w:lineRule="auto"/>
        <w:ind w:firstLine="482"/>
        <w:jc w:val="left"/>
        <w:rPr>
          <w:rFonts w:hint="eastAsia" w:ascii="仿宋_GB2312" w:hAnsi="仿宋_GB2312" w:eastAsia="仿宋_GB2312" w:cs="仿宋_GB2312"/>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Cs/>
          <w:color w:val="000000" w:themeColor="text1"/>
          <w:sz w:val="30"/>
          <w:szCs w:val="30"/>
          <w:highlight w:val="none"/>
          <w14:textFill>
            <w14:solidFill>
              <w14:schemeClr w14:val="tx1"/>
            </w14:solidFill>
          </w14:textFill>
        </w:rPr>
        <w:t>2. 我方提交的投标文件（包括投标报价书和其它投标文件）在投标截止时间后的90天内有效，在此期间内被你方接受的上述文件对我方一直具有约束力，我方保证在投标文件有效期内不撤回投标文件，除招标文件另有规定外，不修改投标文件。</w:t>
      </w:r>
    </w:p>
    <w:p w14:paraId="5B2346FD">
      <w:pPr>
        <w:wordWrap w:val="0"/>
        <w:snapToGrid w:val="0"/>
        <w:spacing w:line="360" w:lineRule="auto"/>
        <w:ind w:firstLine="482"/>
        <w:jc w:val="left"/>
        <w:rPr>
          <w:rFonts w:hint="eastAsia" w:ascii="仿宋_GB2312" w:hAnsi="仿宋_GB2312" w:eastAsia="仿宋_GB2312" w:cs="仿宋_GB2312"/>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Cs/>
          <w:color w:val="000000" w:themeColor="text1"/>
          <w:sz w:val="30"/>
          <w:szCs w:val="30"/>
          <w:highlight w:val="none"/>
          <w14:textFill>
            <w14:solidFill>
              <w14:schemeClr w14:val="tx1"/>
            </w14:solidFill>
          </w14:textFill>
        </w:rPr>
        <w:t>3. 若我方中标：</w:t>
      </w:r>
    </w:p>
    <w:p w14:paraId="23608447">
      <w:pPr>
        <w:wordWrap w:val="0"/>
        <w:snapToGrid w:val="0"/>
        <w:spacing w:line="360" w:lineRule="auto"/>
        <w:ind w:firstLine="482"/>
        <w:jc w:val="left"/>
        <w:rPr>
          <w:rFonts w:hint="eastAsia" w:ascii="仿宋_GB2312" w:hAnsi="仿宋_GB2312" w:eastAsia="仿宋_GB2312" w:cs="仿宋_GB2312"/>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Cs/>
          <w:color w:val="000000" w:themeColor="text1"/>
          <w:sz w:val="30"/>
          <w:szCs w:val="30"/>
          <w:highlight w:val="none"/>
          <w14:textFill>
            <w14:solidFill>
              <w14:schemeClr w14:val="tx1"/>
            </w14:solidFill>
          </w14:textFill>
        </w:rPr>
        <w:t>（1）按比选文件规定的各项要求，向重庆国际物流枢纽园区建设有限责任公司中期票据发行提供比选文件要求的承销服务，投标书中的报价和承诺的服务是我方真实意愿的反映；</w:t>
      </w:r>
    </w:p>
    <w:p w14:paraId="5665F221">
      <w:pPr>
        <w:wordWrap w:val="0"/>
        <w:snapToGrid w:val="0"/>
        <w:spacing w:line="360" w:lineRule="auto"/>
        <w:ind w:firstLine="482"/>
        <w:jc w:val="left"/>
        <w:rPr>
          <w:rFonts w:hint="eastAsia" w:ascii="仿宋_GB2312" w:hAnsi="仿宋_GB2312" w:eastAsia="仿宋_GB2312" w:cs="仿宋_GB2312"/>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Cs/>
          <w:color w:val="000000" w:themeColor="text1"/>
          <w:sz w:val="30"/>
          <w:szCs w:val="30"/>
          <w:highlight w:val="none"/>
          <w14:textFill>
            <w14:solidFill>
              <w14:schemeClr w14:val="tx1"/>
            </w14:solidFill>
          </w14:textFill>
        </w:rPr>
        <w:t>（2）公司完全理解贵方将合同授予综合评分最高者的合格比选申请人；</w:t>
      </w:r>
    </w:p>
    <w:p w14:paraId="4BDD7628">
      <w:pPr>
        <w:wordWrap w:val="0"/>
        <w:snapToGrid w:val="0"/>
        <w:spacing w:line="360" w:lineRule="auto"/>
        <w:ind w:firstLine="482"/>
        <w:jc w:val="left"/>
        <w:rPr>
          <w:rFonts w:hint="eastAsia" w:ascii="仿宋_GB2312" w:hAnsi="仿宋_GB2312" w:eastAsia="仿宋_GB2312" w:cs="仿宋_GB2312"/>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Cs/>
          <w:color w:val="000000" w:themeColor="text1"/>
          <w:sz w:val="30"/>
          <w:szCs w:val="30"/>
          <w:highlight w:val="none"/>
          <w14:textFill>
            <w14:solidFill>
              <w14:schemeClr w14:val="tx1"/>
            </w14:solidFill>
          </w14:textFill>
        </w:rPr>
        <w:t>（3）公司已详细审核全部比选文件及其有关补充文件，知道必须放弃提出含糊不清或误解问题的权利；</w:t>
      </w:r>
    </w:p>
    <w:p w14:paraId="2F512389">
      <w:pPr>
        <w:wordWrap w:val="0"/>
        <w:snapToGrid w:val="0"/>
        <w:spacing w:line="360" w:lineRule="auto"/>
        <w:ind w:firstLine="482"/>
        <w:jc w:val="left"/>
        <w:rPr>
          <w:rFonts w:hint="eastAsia" w:ascii="仿宋_GB2312" w:hAnsi="仿宋_GB2312" w:eastAsia="仿宋_GB2312" w:cs="仿宋_GB2312"/>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Cs/>
          <w:color w:val="000000" w:themeColor="text1"/>
          <w:sz w:val="30"/>
          <w:szCs w:val="30"/>
          <w:highlight w:val="none"/>
          <w14:textFill>
            <w14:solidFill>
              <w14:schemeClr w14:val="tx1"/>
            </w14:solidFill>
          </w14:textFill>
        </w:rPr>
        <w:t>（4）同意向贵方提供可能另外要求的与比选有关的证据资</w:t>
      </w:r>
    </w:p>
    <w:p w14:paraId="44289FF7">
      <w:pPr>
        <w:wordWrap w:val="0"/>
        <w:snapToGrid w:val="0"/>
        <w:spacing w:line="360" w:lineRule="auto"/>
        <w:jc w:val="left"/>
        <w:rPr>
          <w:rFonts w:hint="eastAsia" w:ascii="仿宋_GB2312" w:hAnsi="仿宋_GB2312" w:eastAsia="仿宋_GB2312" w:cs="仿宋_GB2312"/>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Cs/>
          <w:color w:val="000000" w:themeColor="text1"/>
          <w:sz w:val="30"/>
          <w:szCs w:val="30"/>
          <w:highlight w:val="none"/>
          <w14:textFill>
            <w14:solidFill>
              <w14:schemeClr w14:val="tx1"/>
            </w14:solidFill>
          </w14:textFill>
        </w:rPr>
        <w:t>料，配合比选方实施的与评标有关的各项活动，并保证我方提供和将要提供的文件是真实的、准确的；</w:t>
      </w:r>
    </w:p>
    <w:p w14:paraId="4E2B96A2">
      <w:pPr>
        <w:numPr>
          <w:ilvl w:val="0"/>
          <w:numId w:val="2"/>
        </w:numPr>
        <w:wordWrap w:val="0"/>
        <w:snapToGrid w:val="0"/>
        <w:spacing w:line="360" w:lineRule="auto"/>
        <w:ind w:firstLine="482"/>
        <w:jc w:val="left"/>
        <w:rPr>
          <w:rFonts w:hint="eastAsia" w:ascii="仿宋_GB2312" w:hAnsi="仿宋_GB2312" w:eastAsia="仿宋_GB2312" w:cs="仿宋_GB2312"/>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Cs/>
          <w:color w:val="000000" w:themeColor="text1"/>
          <w:sz w:val="30"/>
          <w:szCs w:val="30"/>
          <w:highlight w:val="none"/>
          <w14:textFill>
            <w14:solidFill>
              <w14:schemeClr w14:val="tx1"/>
            </w14:solidFill>
          </w14:textFill>
        </w:rPr>
        <w:t>一旦我方作为中选人，我方将严格履行合同规定的责任和义务，保证按比选文件中规定的要求和比选中的承诺为重庆国际物流枢纽园区建设有限责任公司发行中期票据提供优质的承销服务。</w:t>
      </w:r>
    </w:p>
    <w:p w14:paraId="409C7C11">
      <w:pPr>
        <w:wordWrap w:val="0"/>
        <w:snapToGrid w:val="0"/>
        <w:spacing w:line="360" w:lineRule="auto"/>
        <w:jc w:val="left"/>
        <w:rPr>
          <w:rFonts w:hint="eastAsia" w:ascii="仿宋_GB2312" w:hAnsi="仿宋_GB2312" w:eastAsia="仿宋_GB2312" w:cs="仿宋_GB2312"/>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Cs/>
          <w:color w:val="000000" w:themeColor="text1"/>
          <w:sz w:val="30"/>
          <w:szCs w:val="30"/>
          <w:highlight w:val="none"/>
          <w14:textFill>
            <w14:solidFill>
              <w14:schemeClr w14:val="tx1"/>
            </w14:solidFill>
          </w14:textFill>
        </w:rPr>
        <w:t xml:space="preserve">    注：上述事项需在依法、合规的前提下执行。</w:t>
      </w:r>
    </w:p>
    <w:p w14:paraId="3749FAD8">
      <w:pPr>
        <w:wordWrap w:val="0"/>
        <w:snapToGrid w:val="0"/>
        <w:spacing w:line="360" w:lineRule="auto"/>
        <w:jc w:val="left"/>
        <w:rPr>
          <w:rFonts w:hint="eastAsia" w:ascii="仿宋_GB2312" w:hAnsi="仿宋_GB2312" w:eastAsia="仿宋_GB2312" w:cs="仿宋_GB2312"/>
          <w:bCs/>
          <w:color w:val="000000" w:themeColor="text1"/>
          <w:sz w:val="30"/>
          <w:szCs w:val="30"/>
          <w:highlight w:val="none"/>
          <w14:textFill>
            <w14:solidFill>
              <w14:schemeClr w14:val="tx1"/>
            </w14:solidFill>
          </w14:textFill>
        </w:rPr>
      </w:pPr>
    </w:p>
    <w:p w14:paraId="719F0106">
      <w:pPr>
        <w:wordWrap w:val="0"/>
        <w:snapToGrid w:val="0"/>
        <w:spacing w:line="360" w:lineRule="auto"/>
        <w:ind w:firstLine="482"/>
        <w:jc w:val="left"/>
        <w:rPr>
          <w:rFonts w:hint="eastAsia" w:ascii="仿宋_GB2312" w:hAnsi="仿宋_GB2312" w:eastAsia="仿宋_GB2312" w:cs="仿宋_GB2312"/>
          <w:bCs/>
          <w:color w:val="000000" w:themeColor="text1"/>
          <w:sz w:val="30"/>
          <w:szCs w:val="30"/>
          <w:highlight w:val="none"/>
          <w14:textFill>
            <w14:solidFill>
              <w14:schemeClr w14:val="tx1"/>
            </w14:solidFill>
          </w14:textFill>
        </w:rPr>
      </w:pPr>
    </w:p>
    <w:p w14:paraId="0A964B16">
      <w:pPr>
        <w:wordWrap w:val="0"/>
        <w:snapToGrid w:val="0"/>
        <w:spacing w:line="360" w:lineRule="auto"/>
        <w:jc w:val="left"/>
        <w:rPr>
          <w:rFonts w:hint="eastAsia" w:ascii="仿宋_GB2312" w:hAnsi="仿宋_GB2312" w:eastAsia="仿宋_GB2312" w:cs="仿宋_GB2312"/>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Cs/>
          <w:color w:val="000000" w:themeColor="text1"/>
          <w:sz w:val="30"/>
          <w:szCs w:val="30"/>
          <w:highlight w:val="none"/>
          <w14:textFill>
            <w14:solidFill>
              <w14:schemeClr w14:val="tx1"/>
            </w14:solidFill>
          </w14:textFill>
        </w:rPr>
        <w:t xml:space="preserve">投标人：  </w:t>
      </w:r>
    </w:p>
    <w:p w14:paraId="6BECC685">
      <w:pPr>
        <w:wordWrap w:val="0"/>
        <w:snapToGrid w:val="0"/>
        <w:spacing w:line="360" w:lineRule="auto"/>
        <w:jc w:val="left"/>
        <w:rPr>
          <w:rFonts w:hint="eastAsia" w:ascii="仿宋_GB2312" w:hAnsi="仿宋_GB2312" w:eastAsia="仿宋_GB2312" w:cs="仿宋_GB2312"/>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Cs/>
          <w:color w:val="000000" w:themeColor="text1"/>
          <w:sz w:val="30"/>
          <w:szCs w:val="30"/>
          <w:highlight w:val="none"/>
          <w14:textFill>
            <w14:solidFill>
              <w14:schemeClr w14:val="tx1"/>
            </w14:solidFill>
          </w14:textFill>
        </w:rPr>
        <w:t>法定代表人/负责人：</w:t>
      </w:r>
    </w:p>
    <w:p w14:paraId="4A0274B7">
      <w:pPr>
        <w:wordWrap w:val="0"/>
        <w:snapToGrid w:val="0"/>
        <w:spacing w:line="360" w:lineRule="auto"/>
        <w:jc w:val="left"/>
        <w:rPr>
          <w:rFonts w:hint="eastAsia" w:ascii="仿宋_GB2312" w:hAnsi="仿宋_GB2312" w:eastAsia="仿宋_GB2312" w:cs="仿宋_GB2312"/>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Cs/>
          <w:color w:val="000000" w:themeColor="text1"/>
          <w:sz w:val="30"/>
          <w:szCs w:val="30"/>
          <w:highlight w:val="none"/>
          <w14:textFill>
            <w14:solidFill>
              <w14:schemeClr w14:val="tx1"/>
            </w14:solidFill>
          </w14:textFill>
        </w:rPr>
        <w:t>单位地址：</w:t>
      </w:r>
    </w:p>
    <w:p w14:paraId="06B9E491">
      <w:pPr>
        <w:wordWrap w:val="0"/>
        <w:snapToGrid w:val="0"/>
        <w:spacing w:line="360" w:lineRule="auto"/>
        <w:jc w:val="left"/>
        <w:rPr>
          <w:rFonts w:hint="eastAsia" w:ascii="仿宋_GB2312" w:hAnsi="仿宋_GB2312" w:eastAsia="仿宋_GB2312" w:cs="仿宋_GB2312"/>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Cs/>
          <w:color w:val="000000" w:themeColor="text1"/>
          <w:sz w:val="30"/>
          <w:szCs w:val="30"/>
          <w:highlight w:val="none"/>
          <w14:textFill>
            <w14:solidFill>
              <w14:schemeClr w14:val="tx1"/>
            </w14:solidFill>
          </w14:textFill>
        </w:rPr>
        <w:t>邮政编码：</w:t>
      </w:r>
    </w:p>
    <w:p w14:paraId="280C431E">
      <w:pPr>
        <w:wordWrap w:val="0"/>
        <w:snapToGrid w:val="0"/>
        <w:spacing w:line="360" w:lineRule="auto"/>
        <w:jc w:val="left"/>
        <w:rPr>
          <w:rFonts w:hint="eastAsia" w:ascii="仿宋_GB2312" w:hAnsi="仿宋_GB2312" w:eastAsia="仿宋_GB2312" w:cs="仿宋_GB2312"/>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Cs/>
          <w:color w:val="000000" w:themeColor="text1"/>
          <w:sz w:val="30"/>
          <w:szCs w:val="30"/>
          <w:highlight w:val="none"/>
          <w14:textFill>
            <w14:solidFill>
              <w14:schemeClr w14:val="tx1"/>
            </w14:solidFill>
          </w14:textFill>
        </w:rPr>
        <w:t>电话：</w:t>
      </w:r>
    </w:p>
    <w:p w14:paraId="60B0B349">
      <w:pPr>
        <w:wordWrap w:val="0"/>
        <w:snapToGrid w:val="0"/>
        <w:spacing w:line="360" w:lineRule="auto"/>
        <w:jc w:val="left"/>
        <w:rPr>
          <w:rFonts w:hint="eastAsia" w:ascii="仿宋_GB2312" w:hAnsi="仿宋_GB2312" w:eastAsia="仿宋_GB2312" w:cs="仿宋_GB2312"/>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Cs/>
          <w:color w:val="000000" w:themeColor="text1"/>
          <w:sz w:val="30"/>
          <w:szCs w:val="30"/>
          <w:highlight w:val="none"/>
          <w14:textFill>
            <w14:solidFill>
              <w14:schemeClr w14:val="tx1"/>
            </w14:solidFill>
          </w14:textFill>
        </w:rPr>
        <w:t>传真：</w:t>
      </w:r>
    </w:p>
    <w:p w14:paraId="74BB71C1">
      <w:pPr>
        <w:wordWrap w:val="0"/>
        <w:snapToGrid w:val="0"/>
        <w:spacing w:line="360" w:lineRule="auto"/>
        <w:jc w:val="left"/>
        <w:rPr>
          <w:rFonts w:hint="eastAsia" w:ascii="仿宋_GB2312" w:hAnsi="仿宋_GB2312" w:eastAsia="仿宋_GB2312" w:cs="仿宋_GB2312"/>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Cs/>
          <w:color w:val="000000" w:themeColor="text1"/>
          <w:sz w:val="30"/>
          <w:szCs w:val="30"/>
          <w:highlight w:val="none"/>
          <w14:textFill>
            <w14:solidFill>
              <w14:schemeClr w14:val="tx1"/>
            </w14:solidFill>
          </w14:textFill>
        </w:rPr>
        <w:t>日期：    年     月     日</w:t>
      </w:r>
    </w:p>
    <w:p w14:paraId="74EAC341">
      <w:pPr>
        <w:jc w:val="left"/>
        <w:rPr>
          <w:rFonts w:hint="eastAsia" w:ascii="宋体" w:hAnsi="宋体" w:cs="楷体"/>
          <w:snapToGrid w:val="0"/>
          <w:color w:val="000000" w:themeColor="text1"/>
          <w:kern w:val="0"/>
          <w:szCs w:val="21"/>
          <w:highlight w:val="none"/>
          <w14:textFill>
            <w14:solidFill>
              <w14:schemeClr w14:val="tx1"/>
            </w14:solidFill>
          </w14:textFill>
        </w:rPr>
      </w:pPr>
      <w:r>
        <w:rPr>
          <w:rFonts w:hint="eastAsia" w:ascii="宋体" w:hAnsi="宋体" w:cs="楷体"/>
          <w:snapToGrid w:val="0"/>
          <w:color w:val="000000" w:themeColor="text1"/>
          <w:kern w:val="0"/>
          <w:szCs w:val="21"/>
          <w:highlight w:val="none"/>
          <w14:textFill>
            <w14:solidFill>
              <w14:schemeClr w14:val="tx1"/>
            </w14:solidFill>
          </w14:textFill>
        </w:rPr>
        <w:br w:type="page"/>
      </w:r>
    </w:p>
    <w:p w14:paraId="53EB8B40">
      <w:pPr>
        <w:pStyle w:val="4"/>
        <w:jc w:val="both"/>
        <w:rPr>
          <w:rFonts w:hint="eastAsia" w:ascii="宋体" w:hAnsi="宋体" w:cs="宋体"/>
          <w:color w:val="000000" w:themeColor="text1"/>
          <w:sz w:val="28"/>
          <w:highlight w:val="none"/>
          <w14:textFill>
            <w14:solidFill>
              <w14:schemeClr w14:val="tx1"/>
            </w14:solidFill>
          </w14:textFill>
        </w:rPr>
      </w:pPr>
      <w:bookmarkStart w:id="29" w:name="_Toc336093171"/>
      <w:bookmarkStart w:id="30" w:name="_Toc338263127"/>
      <w:bookmarkStart w:id="31" w:name="_Toc28913"/>
      <w:bookmarkStart w:id="32" w:name="_Toc334349124"/>
    </w:p>
    <w:bookmarkEnd w:id="29"/>
    <w:bookmarkEnd w:id="30"/>
    <w:bookmarkEnd w:id="31"/>
    <w:bookmarkEnd w:id="32"/>
    <w:p w14:paraId="6BAB222F">
      <w:pPr>
        <w:tabs>
          <w:tab w:val="left" w:pos="1680"/>
          <w:tab w:val="left" w:pos="4215"/>
          <w:tab w:val="left" w:pos="4305"/>
          <w:tab w:val="left" w:pos="8000"/>
        </w:tabs>
        <w:autoSpaceDE w:val="0"/>
        <w:autoSpaceDN w:val="0"/>
        <w:adjustRightInd w:val="0"/>
        <w:snapToGrid w:val="0"/>
        <w:spacing w:after="156" w:afterLines="50" w:line="360" w:lineRule="auto"/>
        <w:jc w:val="center"/>
        <w:rPr>
          <w:rFonts w:hint="eastAsia" w:ascii="宋体" w:hAnsi="宋体" w:cs="楷体"/>
          <w:b/>
          <w:color w:val="000000" w:themeColor="text1"/>
          <w:kern w:val="0"/>
          <w:sz w:val="28"/>
          <w:highlight w:val="none"/>
          <w14:textFill>
            <w14:solidFill>
              <w14:schemeClr w14:val="tx1"/>
            </w14:solidFill>
          </w14:textFill>
        </w:rPr>
      </w:pPr>
      <w:r>
        <w:rPr>
          <w:rFonts w:hint="eastAsia" w:ascii="宋体" w:hAnsi="宋体" w:cs="楷体"/>
          <w:b/>
          <w:color w:val="000000" w:themeColor="text1"/>
          <w:kern w:val="0"/>
          <w:sz w:val="28"/>
          <w:highlight w:val="none"/>
          <w14:textFill>
            <w14:solidFill>
              <w14:schemeClr w14:val="tx1"/>
            </w14:solidFill>
          </w14:textFill>
        </w:rPr>
        <w:t>（二）法定代表人/负责人授权委托书</w:t>
      </w:r>
    </w:p>
    <w:p w14:paraId="0C2B55E7">
      <w:pPr>
        <w:wordWrap w:val="0"/>
        <w:snapToGrid w:val="0"/>
        <w:spacing w:line="360" w:lineRule="auto"/>
        <w:ind w:firstLine="482"/>
        <w:jc w:val="left"/>
        <w:rPr>
          <w:rFonts w:hint="eastAsia" w:ascii="仿宋_GB2312" w:hAnsi="仿宋_GB2312" w:eastAsia="仿宋_GB2312" w:cs="仿宋_GB2312"/>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Cs/>
          <w:color w:val="000000" w:themeColor="text1"/>
          <w:sz w:val="30"/>
          <w:szCs w:val="30"/>
          <w:highlight w:val="none"/>
          <w14:textFill>
            <w14:solidFill>
              <w14:schemeClr w14:val="tx1"/>
            </w14:solidFill>
          </w14:textFill>
        </w:rPr>
        <w:t>本人</w:t>
      </w:r>
      <w:r>
        <w:rPr>
          <w:rFonts w:hint="eastAsia" w:ascii="仿宋_GB2312" w:hAnsi="仿宋_GB2312" w:eastAsia="仿宋_GB2312" w:cs="仿宋_GB2312"/>
          <w:bCs/>
          <w:color w:val="000000" w:themeColor="text1"/>
          <w:sz w:val="30"/>
          <w:szCs w:val="30"/>
          <w:highlight w:val="none"/>
          <w:u w:val="single"/>
          <w14:textFill>
            <w14:solidFill>
              <w14:schemeClr w14:val="tx1"/>
            </w14:solidFill>
          </w14:textFill>
        </w:rPr>
        <w:t xml:space="preserve">       </w:t>
      </w:r>
      <w:r>
        <w:rPr>
          <w:rFonts w:hint="eastAsia" w:ascii="仿宋_GB2312" w:hAnsi="仿宋_GB2312" w:eastAsia="仿宋_GB2312" w:cs="仿宋_GB2312"/>
          <w:bCs/>
          <w:color w:val="000000" w:themeColor="text1"/>
          <w:sz w:val="30"/>
          <w:szCs w:val="30"/>
          <w:highlight w:val="none"/>
          <w14:textFill>
            <w14:solidFill>
              <w14:schemeClr w14:val="tx1"/>
            </w14:solidFill>
          </w14:textFill>
        </w:rPr>
        <w:t>系负责人，现委托</w:t>
      </w:r>
      <w:r>
        <w:rPr>
          <w:rFonts w:hint="eastAsia" w:ascii="仿宋_GB2312" w:hAnsi="仿宋_GB2312" w:eastAsia="仿宋_GB2312" w:cs="仿宋_GB2312"/>
          <w:bCs/>
          <w:color w:val="000000" w:themeColor="text1"/>
          <w:sz w:val="30"/>
          <w:szCs w:val="30"/>
          <w:highlight w:val="none"/>
          <w:u w:val="single"/>
          <w14:textFill>
            <w14:solidFill>
              <w14:schemeClr w14:val="tx1"/>
            </w14:solidFill>
          </w14:textFill>
        </w:rPr>
        <w:t xml:space="preserve">       </w:t>
      </w:r>
      <w:r>
        <w:rPr>
          <w:rFonts w:hint="eastAsia" w:ascii="仿宋_GB2312" w:hAnsi="仿宋_GB2312" w:eastAsia="仿宋_GB2312" w:cs="仿宋_GB2312"/>
          <w:bCs/>
          <w:color w:val="000000" w:themeColor="text1"/>
          <w:sz w:val="30"/>
          <w:szCs w:val="30"/>
          <w:highlight w:val="none"/>
          <w14:textFill>
            <w14:solidFill>
              <w14:schemeClr w14:val="tx1"/>
            </w14:solidFill>
          </w14:textFill>
        </w:rPr>
        <w:t>为我方代理人。代理人根据授权，以我方名义签署、澄清、说明、补正、递交、撤回、 修改</w:t>
      </w:r>
      <w:r>
        <w:rPr>
          <w:rFonts w:hint="eastAsia" w:ascii="仿宋_GB2312" w:hAnsi="仿宋_GB2312" w:eastAsia="仿宋_GB2312" w:cs="仿宋_GB2312"/>
          <w:bCs/>
          <w:color w:val="000000" w:themeColor="text1"/>
          <w:sz w:val="30"/>
          <w:szCs w:val="30"/>
          <w:highlight w:val="none"/>
          <w:u w:val="single"/>
          <w14:textFill>
            <w14:solidFill>
              <w14:schemeClr w14:val="tx1"/>
            </w14:solidFill>
          </w14:textFill>
        </w:rPr>
        <w:t xml:space="preserve">                              </w:t>
      </w:r>
      <w:r>
        <w:rPr>
          <w:rFonts w:hint="eastAsia" w:ascii="仿宋_GB2312" w:hAnsi="仿宋_GB2312" w:eastAsia="仿宋_GB2312" w:cs="仿宋_GB2312"/>
          <w:bCs/>
          <w:color w:val="000000" w:themeColor="text1"/>
          <w:sz w:val="30"/>
          <w:szCs w:val="30"/>
          <w:highlight w:val="none"/>
          <w14:textFill>
            <w14:solidFill>
              <w14:schemeClr w14:val="tx1"/>
            </w14:solidFill>
          </w14:textFill>
        </w:rPr>
        <w:t>比选申请文件，其法律后果由我方承担。</w:t>
      </w:r>
    </w:p>
    <w:p w14:paraId="48D8D16F">
      <w:pPr>
        <w:wordWrap w:val="0"/>
        <w:snapToGrid w:val="0"/>
        <w:spacing w:line="360" w:lineRule="auto"/>
        <w:ind w:firstLine="482"/>
        <w:jc w:val="left"/>
        <w:rPr>
          <w:rFonts w:hint="eastAsia" w:ascii="仿宋_GB2312" w:hAnsi="仿宋_GB2312" w:eastAsia="仿宋_GB2312" w:cs="仿宋_GB2312"/>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Cs/>
          <w:color w:val="000000" w:themeColor="text1"/>
          <w:sz w:val="30"/>
          <w:szCs w:val="30"/>
          <w:highlight w:val="none"/>
          <w14:textFill>
            <w14:solidFill>
              <w14:schemeClr w14:val="tx1"/>
            </w14:solidFill>
          </w14:textFill>
        </w:rPr>
        <w:t>委托期限：</w:t>
      </w:r>
      <w:r>
        <w:rPr>
          <w:rFonts w:hint="eastAsia" w:ascii="仿宋_GB2312" w:hAnsi="仿宋_GB2312" w:eastAsia="仿宋_GB2312" w:cs="仿宋_GB2312"/>
          <w:bCs/>
          <w:color w:val="000000" w:themeColor="text1"/>
          <w:sz w:val="30"/>
          <w:szCs w:val="30"/>
          <w:highlight w:val="none"/>
          <w:lang w:val="en-US" w:eastAsia="zh-CN"/>
          <w14:textFill>
            <w14:solidFill>
              <w14:schemeClr w14:val="tx1"/>
            </w14:solidFill>
          </w14:textFill>
        </w:rPr>
        <w:t>90</w:t>
      </w:r>
      <w:r>
        <w:rPr>
          <w:rFonts w:hint="eastAsia" w:ascii="仿宋_GB2312" w:hAnsi="仿宋_GB2312" w:eastAsia="仿宋_GB2312" w:cs="仿宋_GB2312"/>
          <w:bCs/>
          <w:color w:val="000000" w:themeColor="text1"/>
          <w:sz w:val="30"/>
          <w:szCs w:val="30"/>
          <w:highlight w:val="none"/>
          <w14:textFill>
            <w14:solidFill>
              <w14:schemeClr w14:val="tx1"/>
            </w14:solidFill>
          </w14:textFill>
        </w:rPr>
        <w:t>天</w:t>
      </w:r>
      <w:r>
        <w:rPr>
          <w:rFonts w:hint="eastAsia" w:ascii="仿宋_GB2312" w:hAnsi="仿宋_GB2312" w:eastAsia="仿宋_GB2312" w:cs="仿宋_GB2312"/>
          <w:bCs/>
          <w:color w:val="000000" w:themeColor="text1"/>
          <w:sz w:val="30"/>
          <w:szCs w:val="30"/>
          <w:highlight w:val="none"/>
          <w14:textFill>
            <w14:solidFill>
              <w14:schemeClr w14:val="tx1"/>
            </w14:solidFill>
          </w14:textFill>
        </w:rPr>
        <w:tab/>
      </w:r>
      <w:r>
        <w:rPr>
          <w:rFonts w:hint="eastAsia" w:ascii="仿宋_GB2312" w:hAnsi="仿宋_GB2312" w:eastAsia="仿宋_GB2312" w:cs="仿宋_GB2312"/>
          <w:bCs/>
          <w:color w:val="000000" w:themeColor="text1"/>
          <w:sz w:val="30"/>
          <w:szCs w:val="30"/>
          <w:highlight w:val="none"/>
          <w14:textFill>
            <w14:solidFill>
              <w14:schemeClr w14:val="tx1"/>
            </w14:solidFill>
          </w14:textFill>
        </w:rPr>
        <w:t xml:space="preserve">                             。 </w:t>
      </w:r>
    </w:p>
    <w:p w14:paraId="54DBEFDC">
      <w:pPr>
        <w:wordWrap w:val="0"/>
        <w:snapToGrid w:val="0"/>
        <w:spacing w:line="360" w:lineRule="auto"/>
        <w:ind w:firstLine="482"/>
        <w:jc w:val="left"/>
        <w:rPr>
          <w:rFonts w:hint="eastAsia" w:ascii="仿宋_GB2312" w:hAnsi="仿宋_GB2312" w:eastAsia="仿宋_GB2312" w:cs="仿宋_GB2312"/>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Cs/>
          <w:color w:val="000000" w:themeColor="text1"/>
          <w:sz w:val="30"/>
          <w:szCs w:val="30"/>
          <w:highlight w:val="none"/>
          <w14:textFill>
            <w14:solidFill>
              <w14:schemeClr w14:val="tx1"/>
            </w14:solidFill>
          </w14:textFill>
        </w:rPr>
        <w:t>代理人无转委托权。</w:t>
      </w:r>
    </w:p>
    <w:p w14:paraId="7B97D463">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楷体"/>
          <w:color w:val="000000" w:themeColor="text1"/>
          <w:kern w:val="0"/>
          <w:sz w:val="24"/>
          <w:szCs w:val="21"/>
          <w:highlight w:val="none"/>
          <w14:textFill>
            <w14:solidFill>
              <w14:schemeClr w14:val="tx1"/>
            </w14:solidFill>
          </w14:textFill>
        </w:rPr>
      </w:pPr>
      <w:r>
        <w:rPr>
          <w:rFonts w:hint="eastAsia" w:ascii="仿宋" w:hAnsi="仿宋" w:eastAsia="仿宋" w:cs="楷体"/>
          <w:color w:val="000000" w:themeColor="text1"/>
          <w:kern w:val="0"/>
          <w:sz w:val="24"/>
          <w:szCs w:val="21"/>
          <w:highlight w:val="none"/>
          <w14:textFill>
            <w14:solidFill>
              <w14:schemeClr w14:val="tx1"/>
            </w14:solidFill>
          </w14:textFill>
        </w:rPr>
        <w:t>附：法定代表人/负责人身份证明。</w:t>
      </w:r>
    </w:p>
    <w:p w14:paraId="3ADEA8CD">
      <w:pPr>
        <w:pStyle w:val="8"/>
        <w:rPr>
          <w:color w:val="000000" w:themeColor="text1"/>
          <w:highlight w:val="none"/>
          <w14:textFill>
            <w14:solidFill>
              <w14:schemeClr w14:val="tx1"/>
            </w14:solidFill>
          </w14:textFill>
        </w:rPr>
      </w:pPr>
    </w:p>
    <w:p w14:paraId="60636E44">
      <w:pPr>
        <w:framePr w:w="10231" w:h="5431" w:hRule="exact" w:hSpace="180" w:wrap="around" w:vAnchor="text" w:hAnchor="page" w:x="931" w:y="1050"/>
        <w:wordWrap w:val="0"/>
        <w:snapToGrid w:val="0"/>
        <w:spacing w:line="360" w:lineRule="auto"/>
        <w:ind w:firstLine="482"/>
        <w:jc w:val="left"/>
        <w:rPr>
          <w:rFonts w:hint="eastAsia" w:ascii="仿宋_GB2312" w:hAnsi="仿宋_GB2312" w:eastAsia="仿宋_GB2312" w:cs="仿宋_GB2312"/>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Cs/>
          <w:color w:val="000000" w:themeColor="text1"/>
          <w:sz w:val="30"/>
          <w:szCs w:val="30"/>
          <w:highlight w:val="none"/>
          <w14:textFill>
            <w14:solidFill>
              <w14:schemeClr w14:val="tx1"/>
            </w14:solidFill>
          </w14:textFill>
        </w:rPr>
        <w:t xml:space="preserve">比选申请人： </w:t>
      </w:r>
    </w:p>
    <w:p w14:paraId="3751396C">
      <w:pPr>
        <w:framePr w:w="10231" w:h="5431" w:hRule="exact" w:hSpace="180" w:wrap="around" w:vAnchor="text" w:hAnchor="page" w:x="931" w:y="1050"/>
        <w:wordWrap w:val="0"/>
        <w:snapToGrid w:val="0"/>
        <w:spacing w:line="360" w:lineRule="auto"/>
        <w:ind w:firstLine="482"/>
        <w:jc w:val="left"/>
        <w:rPr>
          <w:rFonts w:hint="eastAsia" w:ascii="仿宋_GB2312" w:hAnsi="仿宋_GB2312" w:eastAsia="仿宋_GB2312" w:cs="仿宋_GB2312"/>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Cs/>
          <w:color w:val="000000" w:themeColor="text1"/>
          <w:sz w:val="30"/>
          <w:szCs w:val="30"/>
          <w:highlight w:val="none"/>
          <w14:textFill>
            <w14:solidFill>
              <w14:schemeClr w14:val="tx1"/>
            </w14:solidFill>
          </w14:textFill>
        </w:rPr>
        <w:t>法定代表人/负责人：</w:t>
      </w:r>
    </w:p>
    <w:p w14:paraId="7A3F1EC0">
      <w:pPr>
        <w:framePr w:w="10231" w:h="5431" w:hRule="exact" w:hSpace="180" w:wrap="around" w:vAnchor="text" w:hAnchor="page" w:x="931" w:y="1050"/>
        <w:wordWrap w:val="0"/>
        <w:snapToGrid w:val="0"/>
        <w:spacing w:line="360" w:lineRule="auto"/>
        <w:ind w:firstLine="482"/>
        <w:jc w:val="left"/>
        <w:rPr>
          <w:rFonts w:hint="eastAsia" w:ascii="仿宋_GB2312" w:hAnsi="仿宋_GB2312" w:eastAsia="仿宋_GB2312" w:cs="仿宋_GB2312"/>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Cs/>
          <w:color w:val="000000" w:themeColor="text1"/>
          <w:sz w:val="30"/>
          <w:szCs w:val="30"/>
          <w:highlight w:val="none"/>
          <w14:textFill>
            <w14:solidFill>
              <w14:schemeClr w14:val="tx1"/>
            </w14:solidFill>
          </w14:textFill>
        </w:rPr>
        <w:t xml:space="preserve">身份证号码：  </w:t>
      </w:r>
      <w:r>
        <w:rPr>
          <w:rFonts w:hint="eastAsia" w:ascii="仿宋_GB2312" w:hAnsi="仿宋_GB2312" w:eastAsia="仿宋_GB2312" w:cs="仿宋_GB2312"/>
          <w:bCs/>
          <w:color w:val="000000" w:themeColor="text1"/>
          <w:sz w:val="30"/>
          <w:szCs w:val="30"/>
          <w:highlight w:val="none"/>
          <w14:textFill>
            <w14:solidFill>
              <w14:schemeClr w14:val="tx1"/>
            </w14:solidFill>
          </w14:textFill>
        </w:rPr>
        <w:tab/>
      </w:r>
    </w:p>
    <w:p w14:paraId="5D9A5BBD">
      <w:pPr>
        <w:framePr w:w="10231" w:h="5431" w:hRule="exact" w:hSpace="180" w:wrap="around" w:vAnchor="text" w:hAnchor="page" w:x="931" w:y="1050"/>
        <w:wordWrap w:val="0"/>
        <w:snapToGrid w:val="0"/>
        <w:spacing w:line="360" w:lineRule="auto"/>
        <w:ind w:firstLine="482"/>
        <w:jc w:val="left"/>
        <w:rPr>
          <w:rFonts w:hint="eastAsia" w:ascii="仿宋_GB2312" w:hAnsi="仿宋_GB2312" w:eastAsia="仿宋_GB2312" w:cs="仿宋_GB2312"/>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Cs/>
          <w:color w:val="000000" w:themeColor="text1"/>
          <w:sz w:val="30"/>
          <w:szCs w:val="30"/>
          <w:highlight w:val="none"/>
          <w14:textFill>
            <w14:solidFill>
              <w14:schemeClr w14:val="tx1"/>
            </w14:solidFill>
          </w14:textFill>
        </w:rPr>
        <w:t xml:space="preserve">委托代理人： </w:t>
      </w:r>
      <w:r>
        <w:rPr>
          <w:rFonts w:hint="eastAsia" w:ascii="仿宋_GB2312" w:hAnsi="仿宋_GB2312" w:eastAsia="仿宋_GB2312" w:cs="仿宋_GB2312"/>
          <w:bCs/>
          <w:color w:val="000000" w:themeColor="text1"/>
          <w:sz w:val="30"/>
          <w:szCs w:val="30"/>
          <w:highlight w:val="none"/>
          <w14:textFill>
            <w14:solidFill>
              <w14:schemeClr w14:val="tx1"/>
            </w14:solidFill>
          </w14:textFill>
        </w:rPr>
        <w:tab/>
      </w:r>
    </w:p>
    <w:p w14:paraId="7B515F56">
      <w:pPr>
        <w:framePr w:w="10231" w:h="5431" w:hRule="exact" w:hSpace="180" w:wrap="around" w:vAnchor="text" w:hAnchor="page" w:x="931" w:y="1050"/>
        <w:wordWrap w:val="0"/>
        <w:snapToGrid w:val="0"/>
        <w:spacing w:line="360" w:lineRule="auto"/>
        <w:ind w:firstLine="482"/>
        <w:jc w:val="left"/>
        <w:rPr>
          <w:rFonts w:hint="eastAsia" w:ascii="仿宋_GB2312" w:hAnsi="仿宋_GB2312" w:eastAsia="仿宋_GB2312" w:cs="仿宋_GB2312"/>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Cs/>
          <w:color w:val="000000" w:themeColor="text1"/>
          <w:sz w:val="30"/>
          <w:szCs w:val="30"/>
          <w:highlight w:val="none"/>
          <w14:textFill>
            <w14:solidFill>
              <w14:schemeClr w14:val="tx1"/>
            </w14:solidFill>
          </w14:textFill>
        </w:rPr>
        <w:t xml:space="preserve">身份证号码： </w:t>
      </w:r>
      <w:r>
        <w:rPr>
          <w:rFonts w:hint="eastAsia" w:ascii="仿宋_GB2312" w:hAnsi="仿宋_GB2312" w:eastAsia="仿宋_GB2312" w:cs="仿宋_GB2312"/>
          <w:bCs/>
          <w:color w:val="000000" w:themeColor="text1"/>
          <w:sz w:val="30"/>
          <w:szCs w:val="30"/>
          <w:highlight w:val="none"/>
          <w14:textFill>
            <w14:solidFill>
              <w14:schemeClr w14:val="tx1"/>
            </w14:solidFill>
          </w14:textFill>
        </w:rPr>
        <w:tab/>
      </w:r>
    </w:p>
    <w:p w14:paraId="4368DB94">
      <w:pPr>
        <w:spacing w:before="312" w:beforeLines="100" w:after="312" w:afterLines="100" w:line="560" w:lineRule="exact"/>
        <w:jc w:val="center"/>
        <w:rPr>
          <w:rFonts w:hint="eastAsia" w:ascii="宋体" w:hAnsi="宋体" w:cs="楷体"/>
          <w:b/>
          <w:color w:val="000000" w:themeColor="text1"/>
          <w:kern w:val="0"/>
          <w:sz w:val="28"/>
          <w:highlight w:val="none"/>
          <w14:textFill>
            <w14:solidFill>
              <w14:schemeClr w14:val="tx1"/>
            </w14:solidFill>
          </w14:textFill>
        </w:rPr>
      </w:pPr>
      <w:r>
        <w:rPr>
          <w:rFonts w:hint="eastAsia" w:ascii="仿宋_GB2312" w:hAnsi="仿宋_GB2312" w:eastAsia="仿宋_GB2312" w:cs="仿宋_GB2312"/>
          <w:bCs/>
          <w:color w:val="000000" w:themeColor="text1"/>
          <w:sz w:val="30"/>
          <w:szCs w:val="30"/>
          <w:highlight w:val="none"/>
          <w14:textFill>
            <w14:solidFill>
              <w14:schemeClr w14:val="tx1"/>
            </w14:solidFill>
          </w14:textFill>
        </w:rPr>
        <w:tab/>
      </w:r>
      <w:r>
        <w:rPr>
          <w:rFonts w:hint="eastAsia" w:ascii="仿宋_GB2312" w:hAnsi="仿宋_GB2312" w:eastAsia="仿宋_GB2312" w:cs="仿宋_GB2312"/>
          <w:bCs/>
          <w:color w:val="000000" w:themeColor="text1"/>
          <w:sz w:val="30"/>
          <w:szCs w:val="30"/>
          <w:highlight w:val="none"/>
          <w14:textFill>
            <w14:solidFill>
              <w14:schemeClr w14:val="tx1"/>
            </w14:solidFill>
          </w14:textFill>
        </w:rPr>
        <w:t xml:space="preserve">    年    月   日</w:t>
      </w:r>
      <w:bookmarkEnd w:id="24"/>
    </w:p>
    <w:sectPr>
      <w:headerReference r:id="rId6" w:type="first"/>
      <w:headerReference r:id="rId5" w:type="default"/>
      <w:footerReference r:id="rId7" w:type="default"/>
      <w:pgSz w:w="11906" w:h="16838"/>
      <w:pgMar w:top="992" w:right="1558" w:bottom="850" w:left="1701" w:header="851" w:footer="992" w:gutter="0"/>
      <w:pgNumType w:start="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4F45697-D632-471C-BF5A-97D2C12609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3000509000000000000"/>
    <w:charset w:val="86"/>
    <w:family w:val="script"/>
    <w:pitch w:val="default"/>
    <w:sig w:usb0="00000001" w:usb1="080E0000" w:usb2="00000000" w:usb3="00000000" w:csb0="00040000" w:csb1="00000000"/>
    <w:embedRegular r:id="rId2" w:fontKey="{BB7517C7-5B39-47CD-808E-99B379150DFF}"/>
  </w:font>
  <w:font w:name="仿宋_GB2312">
    <w:panose1 w:val="02010609030101010101"/>
    <w:charset w:val="86"/>
    <w:family w:val="modern"/>
    <w:pitch w:val="default"/>
    <w:sig w:usb0="00000001" w:usb1="080E0000" w:usb2="00000000" w:usb3="00000000" w:csb0="00040000" w:csb1="00000000"/>
    <w:embedRegular r:id="rId3" w:fontKey="{FE0D9B61-D290-4227-902D-D26C6A21F83C}"/>
  </w:font>
  <w:font w:name="MingLiU">
    <w:altName w:val="PMingLiU-ExtB"/>
    <w:panose1 w:val="02010609000101010101"/>
    <w:charset w:val="88"/>
    <w:family w:val="modern"/>
    <w:pitch w:val="default"/>
    <w:sig w:usb0="00000000" w:usb1="00000000" w:usb2="00000016" w:usb3="00000000" w:csb0="00100001" w:csb1="00000000"/>
    <w:embedRegular r:id="rId4" w:fontKey="{51C0D657-DCD9-440A-BF2A-926C410F98B9}"/>
  </w:font>
  <w:font w:name="PMingLiU-ExtB">
    <w:panose1 w:val="02020500000000000000"/>
    <w:charset w:val="88"/>
    <w:family w:val="auto"/>
    <w:pitch w:val="default"/>
    <w:sig w:usb0="8000002F" w:usb1="02000008" w:usb2="00000000" w:usb3="00000000" w:csb0="0010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embedRegular r:id="rId5" w:fontKey="{AA514EE9-82DF-46F5-8EE6-F8DEA7436353}"/>
  </w:font>
  <w:font w:name="Calibri Light">
    <w:panose1 w:val="020F03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6" w:fontKey="{7283280B-6B75-4085-B31D-A48A46BD5211}"/>
  </w:font>
  <w:font w:name="方正黑体_GBK">
    <w:panose1 w:val="03000509000000000000"/>
    <w:charset w:val="86"/>
    <w:family w:val="script"/>
    <w:pitch w:val="default"/>
    <w:sig w:usb0="00000001" w:usb1="080E0000" w:usb2="00000000" w:usb3="00000000" w:csb0="00040000" w:csb1="00000000"/>
    <w:embedRegular r:id="rId7" w:fontKey="{1B0C1F4F-1639-4B7A-A937-41EECE43A223}"/>
  </w:font>
  <w:font w:name="仿宋">
    <w:panose1 w:val="02010609060101010101"/>
    <w:charset w:val="86"/>
    <w:family w:val="modern"/>
    <w:pitch w:val="default"/>
    <w:sig w:usb0="800002BF" w:usb1="38CF7CFA" w:usb2="00000016" w:usb3="00000000" w:csb0="00040001" w:csb1="00000000"/>
    <w:embedRegular r:id="rId8" w:fontKey="{4A06840C-903F-41F0-B220-BF1E7FB90D29}"/>
  </w:font>
  <w:font w:name="WPSEMBED1">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02053">
    <w:pPr>
      <w:pStyle w:val="14"/>
      <w:framePr w:wrap="around" w:vAnchor="text" w:hAnchor="margin" w:xAlign="center" w:y="1"/>
      <w:rPr>
        <w:rStyle w:val="29"/>
      </w:rPr>
    </w:pPr>
    <w:r>
      <w:fldChar w:fldCharType="begin"/>
    </w:r>
    <w:r>
      <w:rPr>
        <w:rStyle w:val="29"/>
      </w:rPr>
      <w:instrText xml:space="preserve">PAGE  </w:instrText>
    </w:r>
    <w:r>
      <w:fldChar w:fldCharType="separate"/>
    </w:r>
    <w:r>
      <w:rPr>
        <w:rStyle w:val="29"/>
      </w:rPr>
      <w:t>1</w:t>
    </w:r>
    <w:r>
      <w:fldChar w:fldCharType="end"/>
    </w:r>
  </w:p>
  <w:p w14:paraId="4063047B">
    <w:pPr>
      <w:pStyle w:val="1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1F601">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D9609">
    <w:pPr>
      <w:pStyle w:val="15"/>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C1DEB">
    <w:pPr>
      <w:pStyle w:val="15"/>
      <w:pBdr>
        <w:bottom w:val="none" w:color="auto" w:sz="0" w:space="0"/>
      </w:pBdr>
      <w:jc w:val="left"/>
      <w:rPr>
        <w:rFonts w:hint="eastAsia" w:ascii="黑体" w:hAnsi="黑体" w:eastAsia="黑体"/>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165B1">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E8D19E"/>
    <w:multiLevelType w:val="singleLevel"/>
    <w:tmpl w:val="A8E8D19E"/>
    <w:lvl w:ilvl="0" w:tentative="0">
      <w:start w:val="5"/>
      <w:numFmt w:val="decimal"/>
      <w:suff w:val="nothing"/>
      <w:lvlText w:val="（%1）"/>
      <w:lvlJc w:val="left"/>
    </w:lvl>
  </w:abstractNum>
  <w:abstractNum w:abstractNumId="1">
    <w:nsid w:val="56E11A4D"/>
    <w:multiLevelType w:val="singleLevel"/>
    <w:tmpl w:val="56E11A4D"/>
    <w:lvl w:ilvl="0" w:tentative="0">
      <w:start w:val="3"/>
      <w:numFmt w:val="chineseCounting"/>
      <w:suff w:val="space"/>
      <w:lvlText w:val="第%1章"/>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revisionView w:markup="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9C5"/>
    <w:rsid w:val="00000E93"/>
    <w:rsid w:val="00003288"/>
    <w:rsid w:val="00003DDD"/>
    <w:rsid w:val="00004C37"/>
    <w:rsid w:val="00006442"/>
    <w:rsid w:val="00007632"/>
    <w:rsid w:val="00012261"/>
    <w:rsid w:val="00013201"/>
    <w:rsid w:val="000138FC"/>
    <w:rsid w:val="00014B88"/>
    <w:rsid w:val="00014C4E"/>
    <w:rsid w:val="0001509F"/>
    <w:rsid w:val="00015271"/>
    <w:rsid w:val="000170AD"/>
    <w:rsid w:val="00017F04"/>
    <w:rsid w:val="000205D4"/>
    <w:rsid w:val="00020EE7"/>
    <w:rsid w:val="000210C3"/>
    <w:rsid w:val="00021381"/>
    <w:rsid w:val="000229E2"/>
    <w:rsid w:val="00022E54"/>
    <w:rsid w:val="00023713"/>
    <w:rsid w:val="00024E57"/>
    <w:rsid w:val="00025883"/>
    <w:rsid w:val="0003004F"/>
    <w:rsid w:val="000314EC"/>
    <w:rsid w:val="000323AB"/>
    <w:rsid w:val="00032650"/>
    <w:rsid w:val="000328F6"/>
    <w:rsid w:val="00034D13"/>
    <w:rsid w:val="00034E7D"/>
    <w:rsid w:val="00035650"/>
    <w:rsid w:val="00035752"/>
    <w:rsid w:val="00035BEA"/>
    <w:rsid w:val="0003637D"/>
    <w:rsid w:val="000405A5"/>
    <w:rsid w:val="00040859"/>
    <w:rsid w:val="00041C67"/>
    <w:rsid w:val="00042A4F"/>
    <w:rsid w:val="000434C7"/>
    <w:rsid w:val="000444C1"/>
    <w:rsid w:val="00044873"/>
    <w:rsid w:val="0004596D"/>
    <w:rsid w:val="0004760B"/>
    <w:rsid w:val="0005092B"/>
    <w:rsid w:val="0005241C"/>
    <w:rsid w:val="00052AEC"/>
    <w:rsid w:val="00054D16"/>
    <w:rsid w:val="00054FED"/>
    <w:rsid w:val="000565BA"/>
    <w:rsid w:val="00062E98"/>
    <w:rsid w:val="00065D83"/>
    <w:rsid w:val="000715E2"/>
    <w:rsid w:val="000721C1"/>
    <w:rsid w:val="00072CD8"/>
    <w:rsid w:val="000766E0"/>
    <w:rsid w:val="00076E8A"/>
    <w:rsid w:val="0008079B"/>
    <w:rsid w:val="000809CC"/>
    <w:rsid w:val="000814C6"/>
    <w:rsid w:val="00081F57"/>
    <w:rsid w:val="0008213A"/>
    <w:rsid w:val="00083AAB"/>
    <w:rsid w:val="0008545E"/>
    <w:rsid w:val="00086DA8"/>
    <w:rsid w:val="00092B66"/>
    <w:rsid w:val="0009387B"/>
    <w:rsid w:val="00093BC8"/>
    <w:rsid w:val="00095A18"/>
    <w:rsid w:val="000A091C"/>
    <w:rsid w:val="000A18CE"/>
    <w:rsid w:val="000A48E8"/>
    <w:rsid w:val="000A60A4"/>
    <w:rsid w:val="000A745A"/>
    <w:rsid w:val="000B05CB"/>
    <w:rsid w:val="000B1D93"/>
    <w:rsid w:val="000B6352"/>
    <w:rsid w:val="000B7274"/>
    <w:rsid w:val="000C182F"/>
    <w:rsid w:val="000C1EF8"/>
    <w:rsid w:val="000C2274"/>
    <w:rsid w:val="000C27C7"/>
    <w:rsid w:val="000C35A5"/>
    <w:rsid w:val="000C4BAE"/>
    <w:rsid w:val="000C64DB"/>
    <w:rsid w:val="000C658D"/>
    <w:rsid w:val="000C6BE4"/>
    <w:rsid w:val="000C6DBE"/>
    <w:rsid w:val="000C6E1F"/>
    <w:rsid w:val="000C6F01"/>
    <w:rsid w:val="000D037C"/>
    <w:rsid w:val="000D184D"/>
    <w:rsid w:val="000D20EF"/>
    <w:rsid w:val="000D395B"/>
    <w:rsid w:val="000D473B"/>
    <w:rsid w:val="000D7AF7"/>
    <w:rsid w:val="000E0E76"/>
    <w:rsid w:val="000E3122"/>
    <w:rsid w:val="000E3C08"/>
    <w:rsid w:val="000E4287"/>
    <w:rsid w:val="000E4BAE"/>
    <w:rsid w:val="000F0554"/>
    <w:rsid w:val="000F091C"/>
    <w:rsid w:val="000F145D"/>
    <w:rsid w:val="000F1869"/>
    <w:rsid w:val="000F283C"/>
    <w:rsid w:val="000F3159"/>
    <w:rsid w:val="000F370F"/>
    <w:rsid w:val="000F5BFA"/>
    <w:rsid w:val="000F7EAE"/>
    <w:rsid w:val="001021F0"/>
    <w:rsid w:val="00104043"/>
    <w:rsid w:val="001054DA"/>
    <w:rsid w:val="0011291D"/>
    <w:rsid w:val="00112B1A"/>
    <w:rsid w:val="00112FF4"/>
    <w:rsid w:val="001142F7"/>
    <w:rsid w:val="00114729"/>
    <w:rsid w:val="00114E13"/>
    <w:rsid w:val="001169AA"/>
    <w:rsid w:val="00117253"/>
    <w:rsid w:val="00117475"/>
    <w:rsid w:val="001245B3"/>
    <w:rsid w:val="00124F7D"/>
    <w:rsid w:val="001252AD"/>
    <w:rsid w:val="00127672"/>
    <w:rsid w:val="00130515"/>
    <w:rsid w:val="00130D72"/>
    <w:rsid w:val="00131626"/>
    <w:rsid w:val="001340F8"/>
    <w:rsid w:val="001368CA"/>
    <w:rsid w:val="001419F6"/>
    <w:rsid w:val="001437C9"/>
    <w:rsid w:val="00143E51"/>
    <w:rsid w:val="00143FAE"/>
    <w:rsid w:val="00145A0C"/>
    <w:rsid w:val="00147615"/>
    <w:rsid w:val="00147ABC"/>
    <w:rsid w:val="00151038"/>
    <w:rsid w:val="00160955"/>
    <w:rsid w:val="00160961"/>
    <w:rsid w:val="00160B94"/>
    <w:rsid w:val="00160E48"/>
    <w:rsid w:val="001611FD"/>
    <w:rsid w:val="001619D3"/>
    <w:rsid w:val="00161DD7"/>
    <w:rsid w:val="0016364D"/>
    <w:rsid w:val="00163BC0"/>
    <w:rsid w:val="00165226"/>
    <w:rsid w:val="00166CCD"/>
    <w:rsid w:val="001673F2"/>
    <w:rsid w:val="00167913"/>
    <w:rsid w:val="00170617"/>
    <w:rsid w:val="001723C4"/>
    <w:rsid w:val="00172A27"/>
    <w:rsid w:val="0017316D"/>
    <w:rsid w:val="001734B9"/>
    <w:rsid w:val="00173A45"/>
    <w:rsid w:val="0017623D"/>
    <w:rsid w:val="00177B2D"/>
    <w:rsid w:val="00177D19"/>
    <w:rsid w:val="00177E7F"/>
    <w:rsid w:val="00180CE3"/>
    <w:rsid w:val="00183571"/>
    <w:rsid w:val="0018480D"/>
    <w:rsid w:val="00185D2D"/>
    <w:rsid w:val="001860D5"/>
    <w:rsid w:val="001864AA"/>
    <w:rsid w:val="00190C1A"/>
    <w:rsid w:val="00190E09"/>
    <w:rsid w:val="00191555"/>
    <w:rsid w:val="0019463D"/>
    <w:rsid w:val="0019764B"/>
    <w:rsid w:val="00197B08"/>
    <w:rsid w:val="001A4ECF"/>
    <w:rsid w:val="001A51A6"/>
    <w:rsid w:val="001A78F1"/>
    <w:rsid w:val="001B0810"/>
    <w:rsid w:val="001B2FF2"/>
    <w:rsid w:val="001B4E80"/>
    <w:rsid w:val="001B7D99"/>
    <w:rsid w:val="001C058B"/>
    <w:rsid w:val="001C0D95"/>
    <w:rsid w:val="001C11FB"/>
    <w:rsid w:val="001C15CC"/>
    <w:rsid w:val="001C1D6A"/>
    <w:rsid w:val="001C1EB5"/>
    <w:rsid w:val="001C3076"/>
    <w:rsid w:val="001C646C"/>
    <w:rsid w:val="001C6E6E"/>
    <w:rsid w:val="001C71F7"/>
    <w:rsid w:val="001C774F"/>
    <w:rsid w:val="001C7804"/>
    <w:rsid w:val="001D1DA3"/>
    <w:rsid w:val="001D1E95"/>
    <w:rsid w:val="001D4C14"/>
    <w:rsid w:val="001D5B07"/>
    <w:rsid w:val="001E0EBB"/>
    <w:rsid w:val="001E2F3F"/>
    <w:rsid w:val="001E4ABB"/>
    <w:rsid w:val="001F0732"/>
    <w:rsid w:val="001F1269"/>
    <w:rsid w:val="001F147E"/>
    <w:rsid w:val="001F1F7A"/>
    <w:rsid w:val="001F3DB3"/>
    <w:rsid w:val="001F3EF7"/>
    <w:rsid w:val="001F41EA"/>
    <w:rsid w:val="001F4FBD"/>
    <w:rsid w:val="001F5A05"/>
    <w:rsid w:val="001F617A"/>
    <w:rsid w:val="001F6BB9"/>
    <w:rsid w:val="001F7304"/>
    <w:rsid w:val="0020086F"/>
    <w:rsid w:val="00200A24"/>
    <w:rsid w:val="00201500"/>
    <w:rsid w:val="0020266A"/>
    <w:rsid w:val="00203B41"/>
    <w:rsid w:val="00204354"/>
    <w:rsid w:val="00207113"/>
    <w:rsid w:val="00211D9C"/>
    <w:rsid w:val="00212E28"/>
    <w:rsid w:val="002143FF"/>
    <w:rsid w:val="002164D1"/>
    <w:rsid w:val="00216FB3"/>
    <w:rsid w:val="00217B49"/>
    <w:rsid w:val="00217D5C"/>
    <w:rsid w:val="00221911"/>
    <w:rsid w:val="0022295E"/>
    <w:rsid w:val="00225A43"/>
    <w:rsid w:val="00225A66"/>
    <w:rsid w:val="002269AA"/>
    <w:rsid w:val="00226A30"/>
    <w:rsid w:val="002279E4"/>
    <w:rsid w:val="00227D60"/>
    <w:rsid w:val="0023083C"/>
    <w:rsid w:val="00230C4E"/>
    <w:rsid w:val="0023126E"/>
    <w:rsid w:val="00233631"/>
    <w:rsid w:val="0023403D"/>
    <w:rsid w:val="0023695D"/>
    <w:rsid w:val="00237B2F"/>
    <w:rsid w:val="00237BEF"/>
    <w:rsid w:val="00240338"/>
    <w:rsid w:val="00240742"/>
    <w:rsid w:val="00242F47"/>
    <w:rsid w:val="00243C95"/>
    <w:rsid w:val="0025282C"/>
    <w:rsid w:val="00253A89"/>
    <w:rsid w:val="00255D5C"/>
    <w:rsid w:val="00260D45"/>
    <w:rsid w:val="00260D5F"/>
    <w:rsid w:val="002623BD"/>
    <w:rsid w:val="0026366D"/>
    <w:rsid w:val="00264DAD"/>
    <w:rsid w:val="0026548C"/>
    <w:rsid w:val="00271D81"/>
    <w:rsid w:val="00272D09"/>
    <w:rsid w:val="002742FB"/>
    <w:rsid w:val="002804A7"/>
    <w:rsid w:val="002818B2"/>
    <w:rsid w:val="002823CB"/>
    <w:rsid w:val="00282600"/>
    <w:rsid w:val="0028517D"/>
    <w:rsid w:val="00285BDF"/>
    <w:rsid w:val="00286A86"/>
    <w:rsid w:val="00286B6C"/>
    <w:rsid w:val="0029044D"/>
    <w:rsid w:val="00292753"/>
    <w:rsid w:val="00295CA0"/>
    <w:rsid w:val="00297132"/>
    <w:rsid w:val="00297369"/>
    <w:rsid w:val="002A02E8"/>
    <w:rsid w:val="002A0503"/>
    <w:rsid w:val="002A0897"/>
    <w:rsid w:val="002A518B"/>
    <w:rsid w:val="002A6E43"/>
    <w:rsid w:val="002B4732"/>
    <w:rsid w:val="002B5B77"/>
    <w:rsid w:val="002B6BEF"/>
    <w:rsid w:val="002B6D3A"/>
    <w:rsid w:val="002C005E"/>
    <w:rsid w:val="002C4B91"/>
    <w:rsid w:val="002C5245"/>
    <w:rsid w:val="002C5538"/>
    <w:rsid w:val="002C72F3"/>
    <w:rsid w:val="002C77AE"/>
    <w:rsid w:val="002C7D40"/>
    <w:rsid w:val="002D0CB2"/>
    <w:rsid w:val="002D0CEF"/>
    <w:rsid w:val="002D1695"/>
    <w:rsid w:val="002D4BD9"/>
    <w:rsid w:val="002D55EB"/>
    <w:rsid w:val="002D5BCA"/>
    <w:rsid w:val="002D6210"/>
    <w:rsid w:val="002D6996"/>
    <w:rsid w:val="002E0531"/>
    <w:rsid w:val="002E1757"/>
    <w:rsid w:val="002E2246"/>
    <w:rsid w:val="002E2584"/>
    <w:rsid w:val="002E3DF6"/>
    <w:rsid w:val="002E4590"/>
    <w:rsid w:val="002E5283"/>
    <w:rsid w:val="002E54DE"/>
    <w:rsid w:val="002F1004"/>
    <w:rsid w:val="002F1B0E"/>
    <w:rsid w:val="002F3892"/>
    <w:rsid w:val="002F492F"/>
    <w:rsid w:val="002F7184"/>
    <w:rsid w:val="002F79AC"/>
    <w:rsid w:val="002F7CC7"/>
    <w:rsid w:val="0030089E"/>
    <w:rsid w:val="00300B8F"/>
    <w:rsid w:val="0031011F"/>
    <w:rsid w:val="00311153"/>
    <w:rsid w:val="00311739"/>
    <w:rsid w:val="00311A3A"/>
    <w:rsid w:val="00311EF4"/>
    <w:rsid w:val="00313A55"/>
    <w:rsid w:val="0031458B"/>
    <w:rsid w:val="00314F93"/>
    <w:rsid w:val="00316A79"/>
    <w:rsid w:val="003171D2"/>
    <w:rsid w:val="00317957"/>
    <w:rsid w:val="00317FC1"/>
    <w:rsid w:val="00321CE1"/>
    <w:rsid w:val="003232AE"/>
    <w:rsid w:val="00323C0C"/>
    <w:rsid w:val="00324DE9"/>
    <w:rsid w:val="00326AF3"/>
    <w:rsid w:val="00327CFA"/>
    <w:rsid w:val="00327E7C"/>
    <w:rsid w:val="003314CA"/>
    <w:rsid w:val="003328EB"/>
    <w:rsid w:val="003346D3"/>
    <w:rsid w:val="00336EA0"/>
    <w:rsid w:val="00337770"/>
    <w:rsid w:val="00340A1C"/>
    <w:rsid w:val="00340F01"/>
    <w:rsid w:val="00340F58"/>
    <w:rsid w:val="0034239F"/>
    <w:rsid w:val="00342AFA"/>
    <w:rsid w:val="00344740"/>
    <w:rsid w:val="00344B05"/>
    <w:rsid w:val="00350863"/>
    <w:rsid w:val="00356ABE"/>
    <w:rsid w:val="00357E66"/>
    <w:rsid w:val="00360B66"/>
    <w:rsid w:val="003636BD"/>
    <w:rsid w:val="003638AA"/>
    <w:rsid w:val="00364B6C"/>
    <w:rsid w:val="00364D24"/>
    <w:rsid w:val="00364EB3"/>
    <w:rsid w:val="00366DBE"/>
    <w:rsid w:val="0036730B"/>
    <w:rsid w:val="00370FC1"/>
    <w:rsid w:val="0037194F"/>
    <w:rsid w:val="00372EB9"/>
    <w:rsid w:val="00374EB4"/>
    <w:rsid w:val="00375A50"/>
    <w:rsid w:val="003779A2"/>
    <w:rsid w:val="00377CF9"/>
    <w:rsid w:val="003824BB"/>
    <w:rsid w:val="003849CB"/>
    <w:rsid w:val="00386117"/>
    <w:rsid w:val="003869D7"/>
    <w:rsid w:val="00386DAD"/>
    <w:rsid w:val="003907B4"/>
    <w:rsid w:val="00390C75"/>
    <w:rsid w:val="003949EA"/>
    <w:rsid w:val="00395A44"/>
    <w:rsid w:val="003A0C80"/>
    <w:rsid w:val="003A25F1"/>
    <w:rsid w:val="003A462A"/>
    <w:rsid w:val="003A53A0"/>
    <w:rsid w:val="003A547D"/>
    <w:rsid w:val="003A6468"/>
    <w:rsid w:val="003A6588"/>
    <w:rsid w:val="003A7C46"/>
    <w:rsid w:val="003B034E"/>
    <w:rsid w:val="003B2806"/>
    <w:rsid w:val="003B5FA1"/>
    <w:rsid w:val="003B75E1"/>
    <w:rsid w:val="003B77B6"/>
    <w:rsid w:val="003C0504"/>
    <w:rsid w:val="003C1688"/>
    <w:rsid w:val="003C1922"/>
    <w:rsid w:val="003C66FC"/>
    <w:rsid w:val="003C7009"/>
    <w:rsid w:val="003C7BD8"/>
    <w:rsid w:val="003D2BC2"/>
    <w:rsid w:val="003D2EA2"/>
    <w:rsid w:val="003D3FB1"/>
    <w:rsid w:val="003D43AF"/>
    <w:rsid w:val="003D65B3"/>
    <w:rsid w:val="003D7980"/>
    <w:rsid w:val="003E1326"/>
    <w:rsid w:val="003E3606"/>
    <w:rsid w:val="003E3B17"/>
    <w:rsid w:val="003E4281"/>
    <w:rsid w:val="003E5063"/>
    <w:rsid w:val="003E6001"/>
    <w:rsid w:val="003F07D6"/>
    <w:rsid w:val="003F1BC9"/>
    <w:rsid w:val="003F2B0C"/>
    <w:rsid w:val="003F3060"/>
    <w:rsid w:val="003F409E"/>
    <w:rsid w:val="003F5A5C"/>
    <w:rsid w:val="003F7B51"/>
    <w:rsid w:val="003F7CCB"/>
    <w:rsid w:val="003F7E6C"/>
    <w:rsid w:val="00400187"/>
    <w:rsid w:val="00401ECC"/>
    <w:rsid w:val="0040358C"/>
    <w:rsid w:val="004064E5"/>
    <w:rsid w:val="004101A5"/>
    <w:rsid w:val="004101C5"/>
    <w:rsid w:val="0041064C"/>
    <w:rsid w:val="0041083A"/>
    <w:rsid w:val="004109F8"/>
    <w:rsid w:val="00410D8F"/>
    <w:rsid w:val="004129AB"/>
    <w:rsid w:val="0041584C"/>
    <w:rsid w:val="00415AFB"/>
    <w:rsid w:val="00417AA7"/>
    <w:rsid w:val="00420257"/>
    <w:rsid w:val="00420AC9"/>
    <w:rsid w:val="00422E1A"/>
    <w:rsid w:val="004239D1"/>
    <w:rsid w:val="00424522"/>
    <w:rsid w:val="00424AC4"/>
    <w:rsid w:val="0043041E"/>
    <w:rsid w:val="004334B2"/>
    <w:rsid w:val="00433F82"/>
    <w:rsid w:val="0043409B"/>
    <w:rsid w:val="00435079"/>
    <w:rsid w:val="00435D14"/>
    <w:rsid w:val="004427AF"/>
    <w:rsid w:val="0044367A"/>
    <w:rsid w:val="004438A1"/>
    <w:rsid w:val="004459A7"/>
    <w:rsid w:val="00446B82"/>
    <w:rsid w:val="00450AA4"/>
    <w:rsid w:val="00450E94"/>
    <w:rsid w:val="00452100"/>
    <w:rsid w:val="00452BE8"/>
    <w:rsid w:val="0045306A"/>
    <w:rsid w:val="004539BD"/>
    <w:rsid w:val="00453EF9"/>
    <w:rsid w:val="0045772A"/>
    <w:rsid w:val="00457E14"/>
    <w:rsid w:val="00462F56"/>
    <w:rsid w:val="004637D6"/>
    <w:rsid w:val="00467540"/>
    <w:rsid w:val="0046761E"/>
    <w:rsid w:val="00467F27"/>
    <w:rsid w:val="00472CAA"/>
    <w:rsid w:val="0047322F"/>
    <w:rsid w:val="0047348E"/>
    <w:rsid w:val="00473F4F"/>
    <w:rsid w:val="004744AA"/>
    <w:rsid w:val="00474590"/>
    <w:rsid w:val="004773F4"/>
    <w:rsid w:val="00477790"/>
    <w:rsid w:val="00477E71"/>
    <w:rsid w:val="00480858"/>
    <w:rsid w:val="00483A11"/>
    <w:rsid w:val="004846E7"/>
    <w:rsid w:val="00484A96"/>
    <w:rsid w:val="00484C67"/>
    <w:rsid w:val="00487A73"/>
    <w:rsid w:val="00491DEB"/>
    <w:rsid w:val="004923FB"/>
    <w:rsid w:val="00493A73"/>
    <w:rsid w:val="00495050"/>
    <w:rsid w:val="004969D1"/>
    <w:rsid w:val="00497FD4"/>
    <w:rsid w:val="004A06F8"/>
    <w:rsid w:val="004A100C"/>
    <w:rsid w:val="004A12CC"/>
    <w:rsid w:val="004A1D11"/>
    <w:rsid w:val="004A626C"/>
    <w:rsid w:val="004A68F3"/>
    <w:rsid w:val="004B09E6"/>
    <w:rsid w:val="004B0B1C"/>
    <w:rsid w:val="004B0D06"/>
    <w:rsid w:val="004B2D9B"/>
    <w:rsid w:val="004B4254"/>
    <w:rsid w:val="004B48C3"/>
    <w:rsid w:val="004B6244"/>
    <w:rsid w:val="004B64D3"/>
    <w:rsid w:val="004C1CBD"/>
    <w:rsid w:val="004C245A"/>
    <w:rsid w:val="004C3B1F"/>
    <w:rsid w:val="004C3DC5"/>
    <w:rsid w:val="004C63C8"/>
    <w:rsid w:val="004C6564"/>
    <w:rsid w:val="004C6DC4"/>
    <w:rsid w:val="004C78BC"/>
    <w:rsid w:val="004D461B"/>
    <w:rsid w:val="004D5773"/>
    <w:rsid w:val="004D7CCF"/>
    <w:rsid w:val="004E072C"/>
    <w:rsid w:val="004E1062"/>
    <w:rsid w:val="004E1B16"/>
    <w:rsid w:val="004E2DB1"/>
    <w:rsid w:val="004E32FF"/>
    <w:rsid w:val="004E39BF"/>
    <w:rsid w:val="004E48AD"/>
    <w:rsid w:val="004E78B4"/>
    <w:rsid w:val="004F3938"/>
    <w:rsid w:val="004F502D"/>
    <w:rsid w:val="004F5DC6"/>
    <w:rsid w:val="005003FC"/>
    <w:rsid w:val="00501905"/>
    <w:rsid w:val="00502B88"/>
    <w:rsid w:val="0050678B"/>
    <w:rsid w:val="00507973"/>
    <w:rsid w:val="0051072B"/>
    <w:rsid w:val="0051103F"/>
    <w:rsid w:val="00512373"/>
    <w:rsid w:val="005141BA"/>
    <w:rsid w:val="0051597D"/>
    <w:rsid w:val="00516955"/>
    <w:rsid w:val="00520C7B"/>
    <w:rsid w:val="0052267A"/>
    <w:rsid w:val="00522E5B"/>
    <w:rsid w:val="00523153"/>
    <w:rsid w:val="0052318A"/>
    <w:rsid w:val="00524EB7"/>
    <w:rsid w:val="005251D5"/>
    <w:rsid w:val="00526431"/>
    <w:rsid w:val="00526690"/>
    <w:rsid w:val="00526821"/>
    <w:rsid w:val="00526A41"/>
    <w:rsid w:val="00527C02"/>
    <w:rsid w:val="0053028F"/>
    <w:rsid w:val="005302AA"/>
    <w:rsid w:val="00530BA9"/>
    <w:rsid w:val="005321A3"/>
    <w:rsid w:val="00532DB9"/>
    <w:rsid w:val="0053378B"/>
    <w:rsid w:val="00534F46"/>
    <w:rsid w:val="00536A0C"/>
    <w:rsid w:val="005415C3"/>
    <w:rsid w:val="005422E0"/>
    <w:rsid w:val="005446FD"/>
    <w:rsid w:val="00546097"/>
    <w:rsid w:val="00552FFC"/>
    <w:rsid w:val="0055601C"/>
    <w:rsid w:val="00557B89"/>
    <w:rsid w:val="00560F60"/>
    <w:rsid w:val="005616E5"/>
    <w:rsid w:val="0056174A"/>
    <w:rsid w:val="00561D4A"/>
    <w:rsid w:val="00562CE4"/>
    <w:rsid w:val="00563587"/>
    <w:rsid w:val="005636E3"/>
    <w:rsid w:val="00564189"/>
    <w:rsid w:val="005644BE"/>
    <w:rsid w:val="00567996"/>
    <w:rsid w:val="005714A8"/>
    <w:rsid w:val="00573A39"/>
    <w:rsid w:val="00575B68"/>
    <w:rsid w:val="005774A0"/>
    <w:rsid w:val="00577D84"/>
    <w:rsid w:val="005803D0"/>
    <w:rsid w:val="005835CB"/>
    <w:rsid w:val="005836F0"/>
    <w:rsid w:val="0059197A"/>
    <w:rsid w:val="005920B0"/>
    <w:rsid w:val="00593270"/>
    <w:rsid w:val="0059403E"/>
    <w:rsid w:val="00594BDF"/>
    <w:rsid w:val="00595883"/>
    <w:rsid w:val="00596EBD"/>
    <w:rsid w:val="005979B6"/>
    <w:rsid w:val="00597AB4"/>
    <w:rsid w:val="005A067F"/>
    <w:rsid w:val="005A0AFE"/>
    <w:rsid w:val="005A2FE9"/>
    <w:rsid w:val="005A587E"/>
    <w:rsid w:val="005A5B4C"/>
    <w:rsid w:val="005A64DF"/>
    <w:rsid w:val="005A7D19"/>
    <w:rsid w:val="005B24AE"/>
    <w:rsid w:val="005B3D47"/>
    <w:rsid w:val="005B4C10"/>
    <w:rsid w:val="005B4FF1"/>
    <w:rsid w:val="005B6FE8"/>
    <w:rsid w:val="005C0E02"/>
    <w:rsid w:val="005C1B91"/>
    <w:rsid w:val="005C2440"/>
    <w:rsid w:val="005C25AB"/>
    <w:rsid w:val="005C2734"/>
    <w:rsid w:val="005C4C3B"/>
    <w:rsid w:val="005C5040"/>
    <w:rsid w:val="005C5A90"/>
    <w:rsid w:val="005C76D1"/>
    <w:rsid w:val="005D28F3"/>
    <w:rsid w:val="005D3157"/>
    <w:rsid w:val="005D6CBA"/>
    <w:rsid w:val="005E0C19"/>
    <w:rsid w:val="005E0DC6"/>
    <w:rsid w:val="005E1D99"/>
    <w:rsid w:val="005E1E09"/>
    <w:rsid w:val="005E300C"/>
    <w:rsid w:val="005E4C79"/>
    <w:rsid w:val="005E7E02"/>
    <w:rsid w:val="005F058F"/>
    <w:rsid w:val="005F1578"/>
    <w:rsid w:val="005F18BE"/>
    <w:rsid w:val="005F1A6E"/>
    <w:rsid w:val="005F2351"/>
    <w:rsid w:val="005F44F1"/>
    <w:rsid w:val="005F4D4F"/>
    <w:rsid w:val="005F5EF2"/>
    <w:rsid w:val="005F6722"/>
    <w:rsid w:val="006013DD"/>
    <w:rsid w:val="006033A8"/>
    <w:rsid w:val="006038F4"/>
    <w:rsid w:val="006059B6"/>
    <w:rsid w:val="006102CF"/>
    <w:rsid w:val="00612285"/>
    <w:rsid w:val="00612E2B"/>
    <w:rsid w:val="00623ECD"/>
    <w:rsid w:val="006255D6"/>
    <w:rsid w:val="0062648D"/>
    <w:rsid w:val="00627121"/>
    <w:rsid w:val="00630A6F"/>
    <w:rsid w:val="006328CB"/>
    <w:rsid w:val="0063336D"/>
    <w:rsid w:val="0063380C"/>
    <w:rsid w:val="006353C6"/>
    <w:rsid w:val="00640646"/>
    <w:rsid w:val="00640B9A"/>
    <w:rsid w:val="00640D84"/>
    <w:rsid w:val="00640F9D"/>
    <w:rsid w:val="0064125A"/>
    <w:rsid w:val="00641464"/>
    <w:rsid w:val="00642301"/>
    <w:rsid w:val="00643752"/>
    <w:rsid w:val="00645852"/>
    <w:rsid w:val="00646431"/>
    <w:rsid w:val="00650E89"/>
    <w:rsid w:val="00652C05"/>
    <w:rsid w:val="00653E39"/>
    <w:rsid w:val="00654BAB"/>
    <w:rsid w:val="00660DE6"/>
    <w:rsid w:val="00661D85"/>
    <w:rsid w:val="00663361"/>
    <w:rsid w:val="00663CCE"/>
    <w:rsid w:val="00667A8F"/>
    <w:rsid w:val="00667BC9"/>
    <w:rsid w:val="0067004F"/>
    <w:rsid w:val="00670AF3"/>
    <w:rsid w:val="00670FFA"/>
    <w:rsid w:val="006712C6"/>
    <w:rsid w:val="00671C4B"/>
    <w:rsid w:val="00672E38"/>
    <w:rsid w:val="00673A8B"/>
    <w:rsid w:val="00674810"/>
    <w:rsid w:val="00674A55"/>
    <w:rsid w:val="00675A77"/>
    <w:rsid w:val="00676B72"/>
    <w:rsid w:val="00681D80"/>
    <w:rsid w:val="0068244E"/>
    <w:rsid w:val="00683532"/>
    <w:rsid w:val="00684CA1"/>
    <w:rsid w:val="006855BD"/>
    <w:rsid w:val="00685E99"/>
    <w:rsid w:val="0068613C"/>
    <w:rsid w:val="00687E0E"/>
    <w:rsid w:val="00690A68"/>
    <w:rsid w:val="0069142A"/>
    <w:rsid w:val="0069342F"/>
    <w:rsid w:val="00693736"/>
    <w:rsid w:val="006962AE"/>
    <w:rsid w:val="006962D0"/>
    <w:rsid w:val="00697F46"/>
    <w:rsid w:val="006A052A"/>
    <w:rsid w:val="006A0E61"/>
    <w:rsid w:val="006A5954"/>
    <w:rsid w:val="006A5CA5"/>
    <w:rsid w:val="006A60D7"/>
    <w:rsid w:val="006A6709"/>
    <w:rsid w:val="006A690C"/>
    <w:rsid w:val="006B2BD2"/>
    <w:rsid w:val="006B2D85"/>
    <w:rsid w:val="006B4268"/>
    <w:rsid w:val="006B588A"/>
    <w:rsid w:val="006B6D9E"/>
    <w:rsid w:val="006C1144"/>
    <w:rsid w:val="006C11AA"/>
    <w:rsid w:val="006C15AF"/>
    <w:rsid w:val="006C165B"/>
    <w:rsid w:val="006C3D31"/>
    <w:rsid w:val="006C3F07"/>
    <w:rsid w:val="006C5782"/>
    <w:rsid w:val="006C6810"/>
    <w:rsid w:val="006D0787"/>
    <w:rsid w:val="006D07FE"/>
    <w:rsid w:val="006D0B95"/>
    <w:rsid w:val="006D34FB"/>
    <w:rsid w:val="006D3C44"/>
    <w:rsid w:val="006D4ED5"/>
    <w:rsid w:val="006D7DD4"/>
    <w:rsid w:val="006E19B5"/>
    <w:rsid w:val="006E223F"/>
    <w:rsid w:val="006E42E4"/>
    <w:rsid w:val="006E7095"/>
    <w:rsid w:val="006E7B3D"/>
    <w:rsid w:val="006F0A02"/>
    <w:rsid w:val="006F172A"/>
    <w:rsid w:val="006F187B"/>
    <w:rsid w:val="006F221F"/>
    <w:rsid w:val="006F22EB"/>
    <w:rsid w:val="006F3CDD"/>
    <w:rsid w:val="006F5715"/>
    <w:rsid w:val="006F5C08"/>
    <w:rsid w:val="006F6FDF"/>
    <w:rsid w:val="006F7140"/>
    <w:rsid w:val="00702794"/>
    <w:rsid w:val="00704531"/>
    <w:rsid w:val="00704F6A"/>
    <w:rsid w:val="00704F7D"/>
    <w:rsid w:val="00706B7C"/>
    <w:rsid w:val="00706CD3"/>
    <w:rsid w:val="0071025C"/>
    <w:rsid w:val="00710562"/>
    <w:rsid w:val="00711343"/>
    <w:rsid w:val="007162C4"/>
    <w:rsid w:val="00717015"/>
    <w:rsid w:val="00717491"/>
    <w:rsid w:val="007179BA"/>
    <w:rsid w:val="00720134"/>
    <w:rsid w:val="007202F1"/>
    <w:rsid w:val="007206AF"/>
    <w:rsid w:val="00721400"/>
    <w:rsid w:val="007233A8"/>
    <w:rsid w:val="007252CD"/>
    <w:rsid w:val="007257A5"/>
    <w:rsid w:val="00725F2D"/>
    <w:rsid w:val="007306DF"/>
    <w:rsid w:val="0073111B"/>
    <w:rsid w:val="00732E01"/>
    <w:rsid w:val="007339E3"/>
    <w:rsid w:val="007360FC"/>
    <w:rsid w:val="007413D6"/>
    <w:rsid w:val="00742D18"/>
    <w:rsid w:val="0074372D"/>
    <w:rsid w:val="007445D4"/>
    <w:rsid w:val="0074504D"/>
    <w:rsid w:val="007465BD"/>
    <w:rsid w:val="00747386"/>
    <w:rsid w:val="00747FC2"/>
    <w:rsid w:val="007502E5"/>
    <w:rsid w:val="007516A7"/>
    <w:rsid w:val="00751B13"/>
    <w:rsid w:val="00751E55"/>
    <w:rsid w:val="00751FA0"/>
    <w:rsid w:val="007533DA"/>
    <w:rsid w:val="00757581"/>
    <w:rsid w:val="00762A09"/>
    <w:rsid w:val="007717C8"/>
    <w:rsid w:val="00771960"/>
    <w:rsid w:val="00772977"/>
    <w:rsid w:val="0077487D"/>
    <w:rsid w:val="00775E72"/>
    <w:rsid w:val="0077602A"/>
    <w:rsid w:val="00776353"/>
    <w:rsid w:val="007775C0"/>
    <w:rsid w:val="007810B7"/>
    <w:rsid w:val="00783EED"/>
    <w:rsid w:val="007913CC"/>
    <w:rsid w:val="00792471"/>
    <w:rsid w:val="007924EE"/>
    <w:rsid w:val="00793041"/>
    <w:rsid w:val="007955C0"/>
    <w:rsid w:val="00795D98"/>
    <w:rsid w:val="007A0C6B"/>
    <w:rsid w:val="007A0DE0"/>
    <w:rsid w:val="007A18B2"/>
    <w:rsid w:val="007A1CD7"/>
    <w:rsid w:val="007A2C9F"/>
    <w:rsid w:val="007A443B"/>
    <w:rsid w:val="007A4F73"/>
    <w:rsid w:val="007A54CE"/>
    <w:rsid w:val="007A72AF"/>
    <w:rsid w:val="007B521D"/>
    <w:rsid w:val="007B65A9"/>
    <w:rsid w:val="007B72B6"/>
    <w:rsid w:val="007B76FE"/>
    <w:rsid w:val="007C0941"/>
    <w:rsid w:val="007C2135"/>
    <w:rsid w:val="007C2859"/>
    <w:rsid w:val="007C7477"/>
    <w:rsid w:val="007C784F"/>
    <w:rsid w:val="007D0322"/>
    <w:rsid w:val="007D1313"/>
    <w:rsid w:val="007D136C"/>
    <w:rsid w:val="007D22B9"/>
    <w:rsid w:val="007D49B7"/>
    <w:rsid w:val="007D4EFB"/>
    <w:rsid w:val="007E0712"/>
    <w:rsid w:val="007E0C02"/>
    <w:rsid w:val="007E0FDC"/>
    <w:rsid w:val="007E22C9"/>
    <w:rsid w:val="007E309D"/>
    <w:rsid w:val="007E31DB"/>
    <w:rsid w:val="007E5724"/>
    <w:rsid w:val="007E6874"/>
    <w:rsid w:val="007F0B3E"/>
    <w:rsid w:val="007F1DB1"/>
    <w:rsid w:val="007F255C"/>
    <w:rsid w:val="007F5EC1"/>
    <w:rsid w:val="007F6F03"/>
    <w:rsid w:val="007F730B"/>
    <w:rsid w:val="0080116A"/>
    <w:rsid w:val="00803425"/>
    <w:rsid w:val="0081032E"/>
    <w:rsid w:val="008107F4"/>
    <w:rsid w:val="0081132E"/>
    <w:rsid w:val="00811A98"/>
    <w:rsid w:val="00814C98"/>
    <w:rsid w:val="008207BF"/>
    <w:rsid w:val="00822309"/>
    <w:rsid w:val="0082232B"/>
    <w:rsid w:val="00824A03"/>
    <w:rsid w:val="00825139"/>
    <w:rsid w:val="008268E6"/>
    <w:rsid w:val="00827431"/>
    <w:rsid w:val="0083037A"/>
    <w:rsid w:val="00830B74"/>
    <w:rsid w:val="0083114A"/>
    <w:rsid w:val="00831696"/>
    <w:rsid w:val="00831A81"/>
    <w:rsid w:val="00832D34"/>
    <w:rsid w:val="0083307F"/>
    <w:rsid w:val="00833F35"/>
    <w:rsid w:val="0083436E"/>
    <w:rsid w:val="0083706E"/>
    <w:rsid w:val="00841F1B"/>
    <w:rsid w:val="00843BB2"/>
    <w:rsid w:val="00843E12"/>
    <w:rsid w:val="0084472D"/>
    <w:rsid w:val="008462E1"/>
    <w:rsid w:val="00846BA3"/>
    <w:rsid w:val="008506FF"/>
    <w:rsid w:val="00851298"/>
    <w:rsid w:val="008518CF"/>
    <w:rsid w:val="00851BA6"/>
    <w:rsid w:val="0085202C"/>
    <w:rsid w:val="008523F3"/>
    <w:rsid w:val="00853AF8"/>
    <w:rsid w:val="00854755"/>
    <w:rsid w:val="00856733"/>
    <w:rsid w:val="008573FE"/>
    <w:rsid w:val="0085777D"/>
    <w:rsid w:val="00860AFE"/>
    <w:rsid w:val="00860C2E"/>
    <w:rsid w:val="00860F7D"/>
    <w:rsid w:val="00861D1F"/>
    <w:rsid w:val="00863390"/>
    <w:rsid w:val="00863D66"/>
    <w:rsid w:val="00866266"/>
    <w:rsid w:val="00866823"/>
    <w:rsid w:val="00866C8B"/>
    <w:rsid w:val="0086786D"/>
    <w:rsid w:val="00867BA2"/>
    <w:rsid w:val="00867E1E"/>
    <w:rsid w:val="00870242"/>
    <w:rsid w:val="008711EF"/>
    <w:rsid w:val="008713D0"/>
    <w:rsid w:val="00876068"/>
    <w:rsid w:val="008814DA"/>
    <w:rsid w:val="00881B08"/>
    <w:rsid w:val="0088290C"/>
    <w:rsid w:val="00882D8A"/>
    <w:rsid w:val="00884364"/>
    <w:rsid w:val="008847F8"/>
    <w:rsid w:val="00884A83"/>
    <w:rsid w:val="00885A4D"/>
    <w:rsid w:val="00887366"/>
    <w:rsid w:val="00887A5F"/>
    <w:rsid w:val="00887D33"/>
    <w:rsid w:val="00887FD5"/>
    <w:rsid w:val="00892B03"/>
    <w:rsid w:val="00892FEC"/>
    <w:rsid w:val="00893C6D"/>
    <w:rsid w:val="00894C3E"/>
    <w:rsid w:val="00895490"/>
    <w:rsid w:val="00895D28"/>
    <w:rsid w:val="008A0FFE"/>
    <w:rsid w:val="008A2782"/>
    <w:rsid w:val="008A3956"/>
    <w:rsid w:val="008A5363"/>
    <w:rsid w:val="008A59CC"/>
    <w:rsid w:val="008A66E0"/>
    <w:rsid w:val="008A7D08"/>
    <w:rsid w:val="008B24BC"/>
    <w:rsid w:val="008B688A"/>
    <w:rsid w:val="008B71C7"/>
    <w:rsid w:val="008C186F"/>
    <w:rsid w:val="008C255B"/>
    <w:rsid w:val="008C2712"/>
    <w:rsid w:val="008C45DC"/>
    <w:rsid w:val="008C5FC0"/>
    <w:rsid w:val="008C6EA9"/>
    <w:rsid w:val="008D1079"/>
    <w:rsid w:val="008D1EC0"/>
    <w:rsid w:val="008D446E"/>
    <w:rsid w:val="008D6105"/>
    <w:rsid w:val="008D65E3"/>
    <w:rsid w:val="008D6BAE"/>
    <w:rsid w:val="008D727C"/>
    <w:rsid w:val="008E19FE"/>
    <w:rsid w:val="008E53D1"/>
    <w:rsid w:val="008E683E"/>
    <w:rsid w:val="008F3625"/>
    <w:rsid w:val="008F4A3F"/>
    <w:rsid w:val="008F6D0A"/>
    <w:rsid w:val="008F7EBB"/>
    <w:rsid w:val="00900080"/>
    <w:rsid w:val="009013DC"/>
    <w:rsid w:val="00901BE4"/>
    <w:rsid w:val="00903B72"/>
    <w:rsid w:val="00904251"/>
    <w:rsid w:val="009042C2"/>
    <w:rsid w:val="00906A36"/>
    <w:rsid w:val="00907542"/>
    <w:rsid w:val="009079A1"/>
    <w:rsid w:val="0091015D"/>
    <w:rsid w:val="009107F7"/>
    <w:rsid w:val="009117EF"/>
    <w:rsid w:val="00912101"/>
    <w:rsid w:val="00913299"/>
    <w:rsid w:val="00913702"/>
    <w:rsid w:val="009148AC"/>
    <w:rsid w:val="00914C9E"/>
    <w:rsid w:val="00921BD7"/>
    <w:rsid w:val="009235AF"/>
    <w:rsid w:val="009235BB"/>
    <w:rsid w:val="00923838"/>
    <w:rsid w:val="00925966"/>
    <w:rsid w:val="00925AB1"/>
    <w:rsid w:val="00925B54"/>
    <w:rsid w:val="0092613D"/>
    <w:rsid w:val="00931296"/>
    <w:rsid w:val="00931536"/>
    <w:rsid w:val="009320DA"/>
    <w:rsid w:val="0093423C"/>
    <w:rsid w:val="00934408"/>
    <w:rsid w:val="0093618C"/>
    <w:rsid w:val="009377D4"/>
    <w:rsid w:val="00940752"/>
    <w:rsid w:val="00941F13"/>
    <w:rsid w:val="009420BC"/>
    <w:rsid w:val="00944B5C"/>
    <w:rsid w:val="00944ED9"/>
    <w:rsid w:val="00945688"/>
    <w:rsid w:val="00945DE8"/>
    <w:rsid w:val="00947E5F"/>
    <w:rsid w:val="00952283"/>
    <w:rsid w:val="00952762"/>
    <w:rsid w:val="009534FA"/>
    <w:rsid w:val="00955972"/>
    <w:rsid w:val="00956249"/>
    <w:rsid w:val="00960B47"/>
    <w:rsid w:val="009619B0"/>
    <w:rsid w:val="0096402E"/>
    <w:rsid w:val="00964601"/>
    <w:rsid w:val="00966E70"/>
    <w:rsid w:val="00967106"/>
    <w:rsid w:val="00973AE3"/>
    <w:rsid w:val="00976A5D"/>
    <w:rsid w:val="0097714B"/>
    <w:rsid w:val="009773B7"/>
    <w:rsid w:val="00977AAD"/>
    <w:rsid w:val="00982C60"/>
    <w:rsid w:val="00983D63"/>
    <w:rsid w:val="00986E05"/>
    <w:rsid w:val="009876C6"/>
    <w:rsid w:val="00992303"/>
    <w:rsid w:val="00992C89"/>
    <w:rsid w:val="00993164"/>
    <w:rsid w:val="009974B4"/>
    <w:rsid w:val="00997515"/>
    <w:rsid w:val="009A4FDD"/>
    <w:rsid w:val="009A50A1"/>
    <w:rsid w:val="009A65B8"/>
    <w:rsid w:val="009A6C31"/>
    <w:rsid w:val="009B075D"/>
    <w:rsid w:val="009B0A59"/>
    <w:rsid w:val="009B232C"/>
    <w:rsid w:val="009B2592"/>
    <w:rsid w:val="009B5001"/>
    <w:rsid w:val="009B5B3D"/>
    <w:rsid w:val="009C02B7"/>
    <w:rsid w:val="009C142B"/>
    <w:rsid w:val="009C3F3C"/>
    <w:rsid w:val="009C57B9"/>
    <w:rsid w:val="009C6B3C"/>
    <w:rsid w:val="009C7023"/>
    <w:rsid w:val="009D1736"/>
    <w:rsid w:val="009D3C86"/>
    <w:rsid w:val="009D4FD1"/>
    <w:rsid w:val="009D5ED2"/>
    <w:rsid w:val="009E1E75"/>
    <w:rsid w:val="009E1FDE"/>
    <w:rsid w:val="009E434F"/>
    <w:rsid w:val="009E64EA"/>
    <w:rsid w:val="009E680B"/>
    <w:rsid w:val="009F02EE"/>
    <w:rsid w:val="009F39F9"/>
    <w:rsid w:val="009F404A"/>
    <w:rsid w:val="009F44F3"/>
    <w:rsid w:val="009F5D26"/>
    <w:rsid w:val="009F6277"/>
    <w:rsid w:val="009F6460"/>
    <w:rsid w:val="009F6D4F"/>
    <w:rsid w:val="009F777F"/>
    <w:rsid w:val="009F7BE2"/>
    <w:rsid w:val="00A0025E"/>
    <w:rsid w:val="00A00987"/>
    <w:rsid w:val="00A00B7D"/>
    <w:rsid w:val="00A02B4E"/>
    <w:rsid w:val="00A0367D"/>
    <w:rsid w:val="00A053D2"/>
    <w:rsid w:val="00A05B9B"/>
    <w:rsid w:val="00A06D96"/>
    <w:rsid w:val="00A077FB"/>
    <w:rsid w:val="00A118AF"/>
    <w:rsid w:val="00A134AE"/>
    <w:rsid w:val="00A13D4F"/>
    <w:rsid w:val="00A1433D"/>
    <w:rsid w:val="00A16029"/>
    <w:rsid w:val="00A167C3"/>
    <w:rsid w:val="00A20B33"/>
    <w:rsid w:val="00A217D3"/>
    <w:rsid w:val="00A231F5"/>
    <w:rsid w:val="00A24109"/>
    <w:rsid w:val="00A26C88"/>
    <w:rsid w:val="00A26E87"/>
    <w:rsid w:val="00A27559"/>
    <w:rsid w:val="00A27660"/>
    <w:rsid w:val="00A30D41"/>
    <w:rsid w:val="00A321DC"/>
    <w:rsid w:val="00A32896"/>
    <w:rsid w:val="00A33253"/>
    <w:rsid w:val="00A33C7F"/>
    <w:rsid w:val="00A36D7F"/>
    <w:rsid w:val="00A37790"/>
    <w:rsid w:val="00A40F62"/>
    <w:rsid w:val="00A41526"/>
    <w:rsid w:val="00A43D87"/>
    <w:rsid w:val="00A46666"/>
    <w:rsid w:val="00A46A7F"/>
    <w:rsid w:val="00A47958"/>
    <w:rsid w:val="00A504BF"/>
    <w:rsid w:val="00A520A4"/>
    <w:rsid w:val="00A530C5"/>
    <w:rsid w:val="00A53779"/>
    <w:rsid w:val="00A53983"/>
    <w:rsid w:val="00A54417"/>
    <w:rsid w:val="00A550E2"/>
    <w:rsid w:val="00A56481"/>
    <w:rsid w:val="00A56993"/>
    <w:rsid w:val="00A601AA"/>
    <w:rsid w:val="00A604FE"/>
    <w:rsid w:val="00A611E6"/>
    <w:rsid w:val="00A61F02"/>
    <w:rsid w:val="00A6242A"/>
    <w:rsid w:val="00A6778B"/>
    <w:rsid w:val="00A7040B"/>
    <w:rsid w:val="00A71D1F"/>
    <w:rsid w:val="00A74446"/>
    <w:rsid w:val="00A75EC2"/>
    <w:rsid w:val="00A85463"/>
    <w:rsid w:val="00A87E1B"/>
    <w:rsid w:val="00A90E42"/>
    <w:rsid w:val="00A918D6"/>
    <w:rsid w:val="00A92A96"/>
    <w:rsid w:val="00A92D94"/>
    <w:rsid w:val="00A972EA"/>
    <w:rsid w:val="00AA661E"/>
    <w:rsid w:val="00AA7B83"/>
    <w:rsid w:val="00AB4FE7"/>
    <w:rsid w:val="00AC0029"/>
    <w:rsid w:val="00AC2147"/>
    <w:rsid w:val="00AC3001"/>
    <w:rsid w:val="00AD01A4"/>
    <w:rsid w:val="00AD1B98"/>
    <w:rsid w:val="00AD5376"/>
    <w:rsid w:val="00AD61C6"/>
    <w:rsid w:val="00AD68F1"/>
    <w:rsid w:val="00AE22A1"/>
    <w:rsid w:val="00AE5573"/>
    <w:rsid w:val="00AE6C4D"/>
    <w:rsid w:val="00AE6E7B"/>
    <w:rsid w:val="00AE7F16"/>
    <w:rsid w:val="00AF241E"/>
    <w:rsid w:val="00AF26FD"/>
    <w:rsid w:val="00AF2E8A"/>
    <w:rsid w:val="00AF45A5"/>
    <w:rsid w:val="00AF464E"/>
    <w:rsid w:val="00AF4670"/>
    <w:rsid w:val="00AF5223"/>
    <w:rsid w:val="00AF6366"/>
    <w:rsid w:val="00AF78C6"/>
    <w:rsid w:val="00AF796F"/>
    <w:rsid w:val="00B00756"/>
    <w:rsid w:val="00B015AA"/>
    <w:rsid w:val="00B03EF3"/>
    <w:rsid w:val="00B04BC5"/>
    <w:rsid w:val="00B04CFB"/>
    <w:rsid w:val="00B077D9"/>
    <w:rsid w:val="00B07D9E"/>
    <w:rsid w:val="00B10AFA"/>
    <w:rsid w:val="00B12493"/>
    <w:rsid w:val="00B169F4"/>
    <w:rsid w:val="00B16B3C"/>
    <w:rsid w:val="00B179EC"/>
    <w:rsid w:val="00B20AC2"/>
    <w:rsid w:val="00B2120B"/>
    <w:rsid w:val="00B2187E"/>
    <w:rsid w:val="00B21E8D"/>
    <w:rsid w:val="00B234C3"/>
    <w:rsid w:val="00B23ABC"/>
    <w:rsid w:val="00B23ECF"/>
    <w:rsid w:val="00B2448C"/>
    <w:rsid w:val="00B25BAB"/>
    <w:rsid w:val="00B26022"/>
    <w:rsid w:val="00B265C0"/>
    <w:rsid w:val="00B314F6"/>
    <w:rsid w:val="00B32EF5"/>
    <w:rsid w:val="00B3536C"/>
    <w:rsid w:val="00B35F4F"/>
    <w:rsid w:val="00B370F0"/>
    <w:rsid w:val="00B402D0"/>
    <w:rsid w:val="00B43B8B"/>
    <w:rsid w:val="00B44C90"/>
    <w:rsid w:val="00B44D4F"/>
    <w:rsid w:val="00B4603A"/>
    <w:rsid w:val="00B479C3"/>
    <w:rsid w:val="00B516FC"/>
    <w:rsid w:val="00B632C0"/>
    <w:rsid w:val="00B63948"/>
    <w:rsid w:val="00B64A12"/>
    <w:rsid w:val="00B668CC"/>
    <w:rsid w:val="00B72BE3"/>
    <w:rsid w:val="00B74496"/>
    <w:rsid w:val="00B8655C"/>
    <w:rsid w:val="00B87EF6"/>
    <w:rsid w:val="00B91082"/>
    <w:rsid w:val="00B92341"/>
    <w:rsid w:val="00BA077F"/>
    <w:rsid w:val="00BA1687"/>
    <w:rsid w:val="00BA385E"/>
    <w:rsid w:val="00BA4014"/>
    <w:rsid w:val="00BA420A"/>
    <w:rsid w:val="00BB04E8"/>
    <w:rsid w:val="00BB0E00"/>
    <w:rsid w:val="00BB425C"/>
    <w:rsid w:val="00BB4C74"/>
    <w:rsid w:val="00BB6692"/>
    <w:rsid w:val="00BB66A6"/>
    <w:rsid w:val="00BB6FDB"/>
    <w:rsid w:val="00BB79E2"/>
    <w:rsid w:val="00BC18FB"/>
    <w:rsid w:val="00BC373B"/>
    <w:rsid w:val="00BC4142"/>
    <w:rsid w:val="00BC4C75"/>
    <w:rsid w:val="00BD2A00"/>
    <w:rsid w:val="00BD55E9"/>
    <w:rsid w:val="00BE18D8"/>
    <w:rsid w:val="00BE1B0C"/>
    <w:rsid w:val="00BE3632"/>
    <w:rsid w:val="00BE4482"/>
    <w:rsid w:val="00BE4D33"/>
    <w:rsid w:val="00BE5292"/>
    <w:rsid w:val="00BE5B1B"/>
    <w:rsid w:val="00BF1E68"/>
    <w:rsid w:val="00BF23E3"/>
    <w:rsid w:val="00BF39A6"/>
    <w:rsid w:val="00BF471D"/>
    <w:rsid w:val="00C00FA2"/>
    <w:rsid w:val="00C05E0C"/>
    <w:rsid w:val="00C07523"/>
    <w:rsid w:val="00C11A06"/>
    <w:rsid w:val="00C11D68"/>
    <w:rsid w:val="00C13158"/>
    <w:rsid w:val="00C13EC6"/>
    <w:rsid w:val="00C140ED"/>
    <w:rsid w:val="00C16ABE"/>
    <w:rsid w:val="00C259E6"/>
    <w:rsid w:val="00C3114D"/>
    <w:rsid w:val="00C33497"/>
    <w:rsid w:val="00C34C07"/>
    <w:rsid w:val="00C35842"/>
    <w:rsid w:val="00C43690"/>
    <w:rsid w:val="00C439A5"/>
    <w:rsid w:val="00C4672E"/>
    <w:rsid w:val="00C47D12"/>
    <w:rsid w:val="00C52FE8"/>
    <w:rsid w:val="00C54296"/>
    <w:rsid w:val="00C55222"/>
    <w:rsid w:val="00C618AB"/>
    <w:rsid w:val="00C63ACB"/>
    <w:rsid w:val="00C63AE0"/>
    <w:rsid w:val="00C6432B"/>
    <w:rsid w:val="00C6577C"/>
    <w:rsid w:val="00C67D2E"/>
    <w:rsid w:val="00C67E7B"/>
    <w:rsid w:val="00C71CA4"/>
    <w:rsid w:val="00C734E3"/>
    <w:rsid w:val="00C74A07"/>
    <w:rsid w:val="00C761F4"/>
    <w:rsid w:val="00C7746F"/>
    <w:rsid w:val="00C80755"/>
    <w:rsid w:val="00C809A8"/>
    <w:rsid w:val="00C80DBB"/>
    <w:rsid w:val="00C8145E"/>
    <w:rsid w:val="00C849DA"/>
    <w:rsid w:val="00C872DB"/>
    <w:rsid w:val="00C87326"/>
    <w:rsid w:val="00C87410"/>
    <w:rsid w:val="00C8771F"/>
    <w:rsid w:val="00C9070E"/>
    <w:rsid w:val="00C90E57"/>
    <w:rsid w:val="00C934BB"/>
    <w:rsid w:val="00C9376E"/>
    <w:rsid w:val="00C959A5"/>
    <w:rsid w:val="00C970FF"/>
    <w:rsid w:val="00CA0EDA"/>
    <w:rsid w:val="00CA1289"/>
    <w:rsid w:val="00CA1DF4"/>
    <w:rsid w:val="00CA2B43"/>
    <w:rsid w:val="00CA4A7C"/>
    <w:rsid w:val="00CA4F16"/>
    <w:rsid w:val="00CA56AE"/>
    <w:rsid w:val="00CA5B46"/>
    <w:rsid w:val="00CA6809"/>
    <w:rsid w:val="00CA7A27"/>
    <w:rsid w:val="00CB102F"/>
    <w:rsid w:val="00CB197C"/>
    <w:rsid w:val="00CB35B5"/>
    <w:rsid w:val="00CB4746"/>
    <w:rsid w:val="00CB4953"/>
    <w:rsid w:val="00CB6C36"/>
    <w:rsid w:val="00CC00CB"/>
    <w:rsid w:val="00CC05EC"/>
    <w:rsid w:val="00CC19FD"/>
    <w:rsid w:val="00CC23E6"/>
    <w:rsid w:val="00CC26D2"/>
    <w:rsid w:val="00CC3034"/>
    <w:rsid w:val="00CC424E"/>
    <w:rsid w:val="00CC42B3"/>
    <w:rsid w:val="00CC4A26"/>
    <w:rsid w:val="00CC6749"/>
    <w:rsid w:val="00CD0334"/>
    <w:rsid w:val="00CD0926"/>
    <w:rsid w:val="00CD3146"/>
    <w:rsid w:val="00CD31AE"/>
    <w:rsid w:val="00CD3F7C"/>
    <w:rsid w:val="00CD5E25"/>
    <w:rsid w:val="00CE0E3D"/>
    <w:rsid w:val="00CE2CD5"/>
    <w:rsid w:val="00CE3032"/>
    <w:rsid w:val="00CE361B"/>
    <w:rsid w:val="00CE4320"/>
    <w:rsid w:val="00CE4E87"/>
    <w:rsid w:val="00CE6622"/>
    <w:rsid w:val="00CF056E"/>
    <w:rsid w:val="00CF111C"/>
    <w:rsid w:val="00CF1D16"/>
    <w:rsid w:val="00CF2637"/>
    <w:rsid w:val="00CF508D"/>
    <w:rsid w:val="00D01C20"/>
    <w:rsid w:val="00D04AA3"/>
    <w:rsid w:val="00D04D71"/>
    <w:rsid w:val="00D054F6"/>
    <w:rsid w:val="00D05ABA"/>
    <w:rsid w:val="00D073D7"/>
    <w:rsid w:val="00D07D4E"/>
    <w:rsid w:val="00D07DBF"/>
    <w:rsid w:val="00D1034D"/>
    <w:rsid w:val="00D103DB"/>
    <w:rsid w:val="00D10A9D"/>
    <w:rsid w:val="00D1102D"/>
    <w:rsid w:val="00D14195"/>
    <w:rsid w:val="00D14E85"/>
    <w:rsid w:val="00D15457"/>
    <w:rsid w:val="00D15CA6"/>
    <w:rsid w:val="00D15EB2"/>
    <w:rsid w:val="00D163C7"/>
    <w:rsid w:val="00D22609"/>
    <w:rsid w:val="00D22776"/>
    <w:rsid w:val="00D228F1"/>
    <w:rsid w:val="00D238BB"/>
    <w:rsid w:val="00D241FE"/>
    <w:rsid w:val="00D24243"/>
    <w:rsid w:val="00D27F04"/>
    <w:rsid w:val="00D304DF"/>
    <w:rsid w:val="00D34EF0"/>
    <w:rsid w:val="00D359AD"/>
    <w:rsid w:val="00D41B44"/>
    <w:rsid w:val="00D435FC"/>
    <w:rsid w:val="00D43D8D"/>
    <w:rsid w:val="00D44C87"/>
    <w:rsid w:val="00D45680"/>
    <w:rsid w:val="00D47C0F"/>
    <w:rsid w:val="00D5056D"/>
    <w:rsid w:val="00D50B60"/>
    <w:rsid w:val="00D51339"/>
    <w:rsid w:val="00D51877"/>
    <w:rsid w:val="00D51FD9"/>
    <w:rsid w:val="00D52466"/>
    <w:rsid w:val="00D52D0D"/>
    <w:rsid w:val="00D54973"/>
    <w:rsid w:val="00D55D6E"/>
    <w:rsid w:val="00D56DF1"/>
    <w:rsid w:val="00D61A8C"/>
    <w:rsid w:val="00D6381E"/>
    <w:rsid w:val="00D64946"/>
    <w:rsid w:val="00D652AA"/>
    <w:rsid w:val="00D65C26"/>
    <w:rsid w:val="00D66444"/>
    <w:rsid w:val="00D66AB5"/>
    <w:rsid w:val="00D673B0"/>
    <w:rsid w:val="00D70AF6"/>
    <w:rsid w:val="00D7108A"/>
    <w:rsid w:val="00D7186E"/>
    <w:rsid w:val="00D71D75"/>
    <w:rsid w:val="00D72714"/>
    <w:rsid w:val="00D737DD"/>
    <w:rsid w:val="00D75BBC"/>
    <w:rsid w:val="00D76E0B"/>
    <w:rsid w:val="00D8048F"/>
    <w:rsid w:val="00D82019"/>
    <w:rsid w:val="00D827C9"/>
    <w:rsid w:val="00D8384E"/>
    <w:rsid w:val="00D83D0C"/>
    <w:rsid w:val="00D83D3B"/>
    <w:rsid w:val="00D84BD2"/>
    <w:rsid w:val="00D85382"/>
    <w:rsid w:val="00D913A3"/>
    <w:rsid w:val="00D918C7"/>
    <w:rsid w:val="00D94DB8"/>
    <w:rsid w:val="00D95785"/>
    <w:rsid w:val="00DA1B92"/>
    <w:rsid w:val="00DA1DFA"/>
    <w:rsid w:val="00DA3F7A"/>
    <w:rsid w:val="00DA5922"/>
    <w:rsid w:val="00DA78CF"/>
    <w:rsid w:val="00DA7B92"/>
    <w:rsid w:val="00DB00AB"/>
    <w:rsid w:val="00DB1D50"/>
    <w:rsid w:val="00DB5643"/>
    <w:rsid w:val="00DB74F6"/>
    <w:rsid w:val="00DC1F74"/>
    <w:rsid w:val="00DC2C5E"/>
    <w:rsid w:val="00DC5FD3"/>
    <w:rsid w:val="00DC7118"/>
    <w:rsid w:val="00DC769C"/>
    <w:rsid w:val="00DD1185"/>
    <w:rsid w:val="00DD15E0"/>
    <w:rsid w:val="00DD1A3D"/>
    <w:rsid w:val="00DD21D1"/>
    <w:rsid w:val="00DD3D3C"/>
    <w:rsid w:val="00DD53AD"/>
    <w:rsid w:val="00DD59B2"/>
    <w:rsid w:val="00DD69E4"/>
    <w:rsid w:val="00DD6E11"/>
    <w:rsid w:val="00DD7ECA"/>
    <w:rsid w:val="00DE0334"/>
    <w:rsid w:val="00DE33BF"/>
    <w:rsid w:val="00DE5488"/>
    <w:rsid w:val="00DF032D"/>
    <w:rsid w:val="00DF0B22"/>
    <w:rsid w:val="00DF7395"/>
    <w:rsid w:val="00E0035A"/>
    <w:rsid w:val="00E009FE"/>
    <w:rsid w:val="00E0214A"/>
    <w:rsid w:val="00E03FD0"/>
    <w:rsid w:val="00E07411"/>
    <w:rsid w:val="00E07777"/>
    <w:rsid w:val="00E10113"/>
    <w:rsid w:val="00E10F26"/>
    <w:rsid w:val="00E12E77"/>
    <w:rsid w:val="00E134A3"/>
    <w:rsid w:val="00E13B63"/>
    <w:rsid w:val="00E13DCF"/>
    <w:rsid w:val="00E1409F"/>
    <w:rsid w:val="00E15E89"/>
    <w:rsid w:val="00E170F2"/>
    <w:rsid w:val="00E2148E"/>
    <w:rsid w:val="00E22022"/>
    <w:rsid w:val="00E220A4"/>
    <w:rsid w:val="00E26713"/>
    <w:rsid w:val="00E27968"/>
    <w:rsid w:val="00E302E9"/>
    <w:rsid w:val="00E33B29"/>
    <w:rsid w:val="00E34198"/>
    <w:rsid w:val="00E3581F"/>
    <w:rsid w:val="00E35943"/>
    <w:rsid w:val="00E36E83"/>
    <w:rsid w:val="00E36EDD"/>
    <w:rsid w:val="00E3777B"/>
    <w:rsid w:val="00E37792"/>
    <w:rsid w:val="00E4042F"/>
    <w:rsid w:val="00E413F1"/>
    <w:rsid w:val="00E421FE"/>
    <w:rsid w:val="00E42D89"/>
    <w:rsid w:val="00E4313A"/>
    <w:rsid w:val="00E433E6"/>
    <w:rsid w:val="00E4459A"/>
    <w:rsid w:val="00E4477B"/>
    <w:rsid w:val="00E44953"/>
    <w:rsid w:val="00E52CC3"/>
    <w:rsid w:val="00E54921"/>
    <w:rsid w:val="00E6031A"/>
    <w:rsid w:val="00E6170D"/>
    <w:rsid w:val="00E64D22"/>
    <w:rsid w:val="00E663FB"/>
    <w:rsid w:val="00E67E8B"/>
    <w:rsid w:val="00E71DF7"/>
    <w:rsid w:val="00E73A22"/>
    <w:rsid w:val="00E743A3"/>
    <w:rsid w:val="00E74AC2"/>
    <w:rsid w:val="00E759F0"/>
    <w:rsid w:val="00E768E4"/>
    <w:rsid w:val="00E76CEC"/>
    <w:rsid w:val="00E80031"/>
    <w:rsid w:val="00E80037"/>
    <w:rsid w:val="00E81E0D"/>
    <w:rsid w:val="00E81FC1"/>
    <w:rsid w:val="00E83F8C"/>
    <w:rsid w:val="00E86896"/>
    <w:rsid w:val="00E87DCA"/>
    <w:rsid w:val="00E9064A"/>
    <w:rsid w:val="00E942BF"/>
    <w:rsid w:val="00E96D9F"/>
    <w:rsid w:val="00E970C0"/>
    <w:rsid w:val="00E97AEF"/>
    <w:rsid w:val="00E97DBE"/>
    <w:rsid w:val="00EA008B"/>
    <w:rsid w:val="00EA32A5"/>
    <w:rsid w:val="00EA4552"/>
    <w:rsid w:val="00EA4F1E"/>
    <w:rsid w:val="00EA5515"/>
    <w:rsid w:val="00EA5D42"/>
    <w:rsid w:val="00EA6970"/>
    <w:rsid w:val="00EB2DA2"/>
    <w:rsid w:val="00EB4647"/>
    <w:rsid w:val="00EB6DBA"/>
    <w:rsid w:val="00EB7CC3"/>
    <w:rsid w:val="00EC2218"/>
    <w:rsid w:val="00EC2E55"/>
    <w:rsid w:val="00EC2F25"/>
    <w:rsid w:val="00ED29B6"/>
    <w:rsid w:val="00ED434C"/>
    <w:rsid w:val="00ED5AE1"/>
    <w:rsid w:val="00ED6C2D"/>
    <w:rsid w:val="00ED7450"/>
    <w:rsid w:val="00ED78A2"/>
    <w:rsid w:val="00EE0ADF"/>
    <w:rsid w:val="00EE2F19"/>
    <w:rsid w:val="00EE4AA7"/>
    <w:rsid w:val="00EE4FC1"/>
    <w:rsid w:val="00EE640C"/>
    <w:rsid w:val="00EE7A6B"/>
    <w:rsid w:val="00EF213F"/>
    <w:rsid w:val="00EF2452"/>
    <w:rsid w:val="00EF3ECC"/>
    <w:rsid w:val="00EF48AE"/>
    <w:rsid w:val="00EF4D2E"/>
    <w:rsid w:val="00EF5DD9"/>
    <w:rsid w:val="00F05511"/>
    <w:rsid w:val="00F05760"/>
    <w:rsid w:val="00F066FD"/>
    <w:rsid w:val="00F07739"/>
    <w:rsid w:val="00F10AE9"/>
    <w:rsid w:val="00F11CAC"/>
    <w:rsid w:val="00F11DA1"/>
    <w:rsid w:val="00F128D2"/>
    <w:rsid w:val="00F1317F"/>
    <w:rsid w:val="00F15590"/>
    <w:rsid w:val="00F16BC8"/>
    <w:rsid w:val="00F20892"/>
    <w:rsid w:val="00F222EC"/>
    <w:rsid w:val="00F231AA"/>
    <w:rsid w:val="00F237A6"/>
    <w:rsid w:val="00F24340"/>
    <w:rsid w:val="00F24822"/>
    <w:rsid w:val="00F25AC4"/>
    <w:rsid w:val="00F25BCE"/>
    <w:rsid w:val="00F279A0"/>
    <w:rsid w:val="00F3008B"/>
    <w:rsid w:val="00F3208B"/>
    <w:rsid w:val="00F344A0"/>
    <w:rsid w:val="00F344E8"/>
    <w:rsid w:val="00F363FB"/>
    <w:rsid w:val="00F41AE7"/>
    <w:rsid w:val="00F422F3"/>
    <w:rsid w:val="00F45812"/>
    <w:rsid w:val="00F50F7B"/>
    <w:rsid w:val="00F51451"/>
    <w:rsid w:val="00F51E43"/>
    <w:rsid w:val="00F52960"/>
    <w:rsid w:val="00F53B7E"/>
    <w:rsid w:val="00F5480E"/>
    <w:rsid w:val="00F55E39"/>
    <w:rsid w:val="00F57EF6"/>
    <w:rsid w:val="00F622F5"/>
    <w:rsid w:val="00F64EF7"/>
    <w:rsid w:val="00F65F65"/>
    <w:rsid w:val="00F6602A"/>
    <w:rsid w:val="00F66B98"/>
    <w:rsid w:val="00F67A75"/>
    <w:rsid w:val="00F7024B"/>
    <w:rsid w:val="00F7029D"/>
    <w:rsid w:val="00F704CF"/>
    <w:rsid w:val="00F73067"/>
    <w:rsid w:val="00F751DA"/>
    <w:rsid w:val="00F76CD9"/>
    <w:rsid w:val="00F7734F"/>
    <w:rsid w:val="00F779A8"/>
    <w:rsid w:val="00F81032"/>
    <w:rsid w:val="00F819AD"/>
    <w:rsid w:val="00F83160"/>
    <w:rsid w:val="00F839D7"/>
    <w:rsid w:val="00F846D6"/>
    <w:rsid w:val="00F86C4B"/>
    <w:rsid w:val="00F918F3"/>
    <w:rsid w:val="00F943FC"/>
    <w:rsid w:val="00F94F04"/>
    <w:rsid w:val="00FA0FA0"/>
    <w:rsid w:val="00FA4BA2"/>
    <w:rsid w:val="00FA56C3"/>
    <w:rsid w:val="00FA7FE7"/>
    <w:rsid w:val="00FB187F"/>
    <w:rsid w:val="00FB1CED"/>
    <w:rsid w:val="00FB26E3"/>
    <w:rsid w:val="00FB3DC3"/>
    <w:rsid w:val="00FB5E84"/>
    <w:rsid w:val="00FB705D"/>
    <w:rsid w:val="00FB73C4"/>
    <w:rsid w:val="00FC55E6"/>
    <w:rsid w:val="00FC560B"/>
    <w:rsid w:val="00FC6185"/>
    <w:rsid w:val="00FC61FC"/>
    <w:rsid w:val="00FC641C"/>
    <w:rsid w:val="00FC69F2"/>
    <w:rsid w:val="00FD2831"/>
    <w:rsid w:val="00FD3182"/>
    <w:rsid w:val="00FD3651"/>
    <w:rsid w:val="00FD70A3"/>
    <w:rsid w:val="00FD71B9"/>
    <w:rsid w:val="00FD737E"/>
    <w:rsid w:val="00FE0DBF"/>
    <w:rsid w:val="00FE1AB3"/>
    <w:rsid w:val="00FE32D3"/>
    <w:rsid w:val="00FE48B2"/>
    <w:rsid w:val="00FE6655"/>
    <w:rsid w:val="00FE7502"/>
    <w:rsid w:val="00FF5512"/>
    <w:rsid w:val="00FF6269"/>
    <w:rsid w:val="00FF6A2F"/>
    <w:rsid w:val="00FF796D"/>
    <w:rsid w:val="01125CD1"/>
    <w:rsid w:val="01902CB1"/>
    <w:rsid w:val="01A530D1"/>
    <w:rsid w:val="022D2838"/>
    <w:rsid w:val="0252665D"/>
    <w:rsid w:val="028C3FC7"/>
    <w:rsid w:val="0292641E"/>
    <w:rsid w:val="0297659D"/>
    <w:rsid w:val="031B2A14"/>
    <w:rsid w:val="03512577"/>
    <w:rsid w:val="048A06A0"/>
    <w:rsid w:val="04957EE9"/>
    <w:rsid w:val="04ED4269"/>
    <w:rsid w:val="05526DC9"/>
    <w:rsid w:val="05BB778A"/>
    <w:rsid w:val="06715AA8"/>
    <w:rsid w:val="06A7299C"/>
    <w:rsid w:val="06D414D1"/>
    <w:rsid w:val="06E35F65"/>
    <w:rsid w:val="070E362D"/>
    <w:rsid w:val="0770194E"/>
    <w:rsid w:val="07B43E13"/>
    <w:rsid w:val="08100829"/>
    <w:rsid w:val="08216107"/>
    <w:rsid w:val="082302B4"/>
    <w:rsid w:val="08810558"/>
    <w:rsid w:val="08B912A8"/>
    <w:rsid w:val="08BA1D24"/>
    <w:rsid w:val="093C09A4"/>
    <w:rsid w:val="095C4665"/>
    <w:rsid w:val="09826498"/>
    <w:rsid w:val="0A3F00F3"/>
    <w:rsid w:val="0B307F06"/>
    <w:rsid w:val="0B7C5866"/>
    <w:rsid w:val="0D4E0FE4"/>
    <w:rsid w:val="0D775AF9"/>
    <w:rsid w:val="0E0B0A72"/>
    <w:rsid w:val="0F5E67A1"/>
    <w:rsid w:val="0F673852"/>
    <w:rsid w:val="0F7E5280"/>
    <w:rsid w:val="100E76C7"/>
    <w:rsid w:val="10747556"/>
    <w:rsid w:val="1233767B"/>
    <w:rsid w:val="12736131"/>
    <w:rsid w:val="12FC6E6A"/>
    <w:rsid w:val="13116383"/>
    <w:rsid w:val="136E12A8"/>
    <w:rsid w:val="14321311"/>
    <w:rsid w:val="15721E39"/>
    <w:rsid w:val="15D10434"/>
    <w:rsid w:val="17A65A79"/>
    <w:rsid w:val="17C90A93"/>
    <w:rsid w:val="17EC7D8A"/>
    <w:rsid w:val="189947E7"/>
    <w:rsid w:val="18CD2BB1"/>
    <w:rsid w:val="19967815"/>
    <w:rsid w:val="19BF2B73"/>
    <w:rsid w:val="1AAE7A8C"/>
    <w:rsid w:val="1B197BC7"/>
    <w:rsid w:val="1BA40ECE"/>
    <w:rsid w:val="1D2720BA"/>
    <w:rsid w:val="1D416F28"/>
    <w:rsid w:val="1DD93C24"/>
    <w:rsid w:val="1E214675"/>
    <w:rsid w:val="1EB61116"/>
    <w:rsid w:val="20E21F80"/>
    <w:rsid w:val="224F0DAC"/>
    <w:rsid w:val="225B5109"/>
    <w:rsid w:val="22E50DEF"/>
    <w:rsid w:val="2335767E"/>
    <w:rsid w:val="2375669A"/>
    <w:rsid w:val="23821E34"/>
    <w:rsid w:val="24376D95"/>
    <w:rsid w:val="247F3E8F"/>
    <w:rsid w:val="24EA789C"/>
    <w:rsid w:val="253121A4"/>
    <w:rsid w:val="257223F3"/>
    <w:rsid w:val="25F43BE9"/>
    <w:rsid w:val="25FF2B4E"/>
    <w:rsid w:val="26B325BE"/>
    <w:rsid w:val="278B3679"/>
    <w:rsid w:val="27A97FAA"/>
    <w:rsid w:val="27DA79BE"/>
    <w:rsid w:val="27EF5406"/>
    <w:rsid w:val="282F2EFC"/>
    <w:rsid w:val="28827DD0"/>
    <w:rsid w:val="289D572F"/>
    <w:rsid w:val="2A0332FC"/>
    <w:rsid w:val="2A201D6B"/>
    <w:rsid w:val="2B513D35"/>
    <w:rsid w:val="2C1E60E0"/>
    <w:rsid w:val="2DC258EC"/>
    <w:rsid w:val="2E3C1B78"/>
    <w:rsid w:val="2F68699C"/>
    <w:rsid w:val="2FAD22CB"/>
    <w:rsid w:val="2FB13E9F"/>
    <w:rsid w:val="31D41A4F"/>
    <w:rsid w:val="32226D34"/>
    <w:rsid w:val="323436D2"/>
    <w:rsid w:val="324234D5"/>
    <w:rsid w:val="331C0AED"/>
    <w:rsid w:val="33F245AA"/>
    <w:rsid w:val="33FF669A"/>
    <w:rsid w:val="348D41C6"/>
    <w:rsid w:val="34C346A0"/>
    <w:rsid w:val="35367867"/>
    <w:rsid w:val="35E714F7"/>
    <w:rsid w:val="35EE45E9"/>
    <w:rsid w:val="36336D61"/>
    <w:rsid w:val="37933317"/>
    <w:rsid w:val="37B93079"/>
    <w:rsid w:val="38CF3B09"/>
    <w:rsid w:val="38DC1FEA"/>
    <w:rsid w:val="399A540A"/>
    <w:rsid w:val="39B05732"/>
    <w:rsid w:val="39CC6FB5"/>
    <w:rsid w:val="3A742C7D"/>
    <w:rsid w:val="3B3F397B"/>
    <w:rsid w:val="3B4300C7"/>
    <w:rsid w:val="3B690306"/>
    <w:rsid w:val="3B82342F"/>
    <w:rsid w:val="3BB76A33"/>
    <w:rsid w:val="3BD66891"/>
    <w:rsid w:val="3C2F484D"/>
    <w:rsid w:val="3D5B22AD"/>
    <w:rsid w:val="3D8E75CE"/>
    <w:rsid w:val="3E56725E"/>
    <w:rsid w:val="3EAA6A12"/>
    <w:rsid w:val="3F104904"/>
    <w:rsid w:val="3F377CF4"/>
    <w:rsid w:val="3F50013C"/>
    <w:rsid w:val="3FE13D50"/>
    <w:rsid w:val="40007AE3"/>
    <w:rsid w:val="4036253F"/>
    <w:rsid w:val="41BF421A"/>
    <w:rsid w:val="41F85FDB"/>
    <w:rsid w:val="42D44BBD"/>
    <w:rsid w:val="42DF6B1E"/>
    <w:rsid w:val="43496ADC"/>
    <w:rsid w:val="437F2A4C"/>
    <w:rsid w:val="438602D6"/>
    <w:rsid w:val="43B55B8A"/>
    <w:rsid w:val="4435479E"/>
    <w:rsid w:val="445530B8"/>
    <w:rsid w:val="448852AF"/>
    <w:rsid w:val="44D64D9B"/>
    <w:rsid w:val="44EB5E5E"/>
    <w:rsid w:val="45F431D4"/>
    <w:rsid w:val="461C2F1E"/>
    <w:rsid w:val="46D92C50"/>
    <w:rsid w:val="47293CD0"/>
    <w:rsid w:val="48F30D3D"/>
    <w:rsid w:val="49FD4CC9"/>
    <w:rsid w:val="4A4110E0"/>
    <w:rsid w:val="4A976F81"/>
    <w:rsid w:val="4B5F72ED"/>
    <w:rsid w:val="4B863005"/>
    <w:rsid w:val="4B872B7C"/>
    <w:rsid w:val="4BC92DD3"/>
    <w:rsid w:val="4C095A4C"/>
    <w:rsid w:val="4C6704EE"/>
    <w:rsid w:val="4C8B73FF"/>
    <w:rsid w:val="4CAE3FDC"/>
    <w:rsid w:val="4F2426DA"/>
    <w:rsid w:val="4F6C6FAD"/>
    <w:rsid w:val="4FC82678"/>
    <w:rsid w:val="4FE70916"/>
    <w:rsid w:val="502A5F79"/>
    <w:rsid w:val="50DA4BD1"/>
    <w:rsid w:val="51062806"/>
    <w:rsid w:val="515079AF"/>
    <w:rsid w:val="51CB4A85"/>
    <w:rsid w:val="52820929"/>
    <w:rsid w:val="53805D47"/>
    <w:rsid w:val="53B34A59"/>
    <w:rsid w:val="53B67530"/>
    <w:rsid w:val="547E60BB"/>
    <w:rsid w:val="54E51516"/>
    <w:rsid w:val="552114B7"/>
    <w:rsid w:val="562C675F"/>
    <w:rsid w:val="571742F6"/>
    <w:rsid w:val="571839D7"/>
    <w:rsid w:val="57661D50"/>
    <w:rsid w:val="57D14A00"/>
    <w:rsid w:val="584667E1"/>
    <w:rsid w:val="5867603E"/>
    <w:rsid w:val="58BA6992"/>
    <w:rsid w:val="59F51F76"/>
    <w:rsid w:val="5A5A4995"/>
    <w:rsid w:val="5A721394"/>
    <w:rsid w:val="5AB042BC"/>
    <w:rsid w:val="5B32041A"/>
    <w:rsid w:val="5B7831A0"/>
    <w:rsid w:val="5BE30604"/>
    <w:rsid w:val="5CB04E73"/>
    <w:rsid w:val="5E04181D"/>
    <w:rsid w:val="5E06036E"/>
    <w:rsid w:val="5EBB4EE6"/>
    <w:rsid w:val="5EF85B08"/>
    <w:rsid w:val="5F2C096F"/>
    <w:rsid w:val="5F371FB4"/>
    <w:rsid w:val="5F88394B"/>
    <w:rsid w:val="5FBF60C5"/>
    <w:rsid w:val="604A3A09"/>
    <w:rsid w:val="60D13AF2"/>
    <w:rsid w:val="61ED2F49"/>
    <w:rsid w:val="62A46647"/>
    <w:rsid w:val="62E05432"/>
    <w:rsid w:val="63E52F65"/>
    <w:rsid w:val="63FB39E9"/>
    <w:rsid w:val="642D0CA5"/>
    <w:rsid w:val="65A706F6"/>
    <w:rsid w:val="65DE09FF"/>
    <w:rsid w:val="66A81C74"/>
    <w:rsid w:val="66A8793B"/>
    <w:rsid w:val="67C30A19"/>
    <w:rsid w:val="688D6550"/>
    <w:rsid w:val="696E6789"/>
    <w:rsid w:val="69A97868"/>
    <w:rsid w:val="6A7C5642"/>
    <w:rsid w:val="6AC271EF"/>
    <w:rsid w:val="6AE23E89"/>
    <w:rsid w:val="6B2F7E0D"/>
    <w:rsid w:val="6C5042C3"/>
    <w:rsid w:val="6CA2084A"/>
    <w:rsid w:val="6D084564"/>
    <w:rsid w:val="6DC84DF7"/>
    <w:rsid w:val="6DF8446C"/>
    <w:rsid w:val="6E625B05"/>
    <w:rsid w:val="6EB708EA"/>
    <w:rsid w:val="702F3F50"/>
    <w:rsid w:val="70992649"/>
    <w:rsid w:val="71A263E9"/>
    <w:rsid w:val="72336AC0"/>
    <w:rsid w:val="7506570B"/>
    <w:rsid w:val="755F7C58"/>
    <w:rsid w:val="759A5F7F"/>
    <w:rsid w:val="76015D09"/>
    <w:rsid w:val="77316224"/>
    <w:rsid w:val="7759670D"/>
    <w:rsid w:val="77821BFA"/>
    <w:rsid w:val="77E52BFF"/>
    <w:rsid w:val="77F93384"/>
    <w:rsid w:val="785824E3"/>
    <w:rsid w:val="796A3742"/>
    <w:rsid w:val="7AAA62CC"/>
    <w:rsid w:val="7B161187"/>
    <w:rsid w:val="7B7F3D79"/>
    <w:rsid w:val="7B862667"/>
    <w:rsid w:val="7C001336"/>
    <w:rsid w:val="7C4902F7"/>
    <w:rsid w:val="7CF60314"/>
    <w:rsid w:val="7D4D264B"/>
    <w:rsid w:val="7D577D93"/>
    <w:rsid w:val="7DFC3B04"/>
    <w:rsid w:val="7E0B07F1"/>
    <w:rsid w:val="7E8F73C2"/>
    <w:rsid w:val="7EB72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楷体_GBK"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0"/>
    <w:pPr>
      <w:autoSpaceDE w:val="0"/>
      <w:autoSpaceDN w:val="0"/>
      <w:adjustRightInd w:val="0"/>
      <w:snapToGrid w:val="0"/>
      <w:spacing w:line="360" w:lineRule="auto"/>
      <w:ind w:left="3105" w:hanging="1320"/>
      <w:jc w:val="center"/>
      <w:outlineLvl w:val="0"/>
    </w:pPr>
    <w:rPr>
      <w:rFonts w:eastAsia="黑体"/>
      <w:sz w:val="44"/>
      <w:szCs w:val="44"/>
    </w:rPr>
  </w:style>
  <w:style w:type="paragraph" w:styleId="3">
    <w:name w:val="heading 2"/>
    <w:basedOn w:val="1"/>
    <w:next w:val="1"/>
    <w:link w:val="34"/>
    <w:qFormat/>
    <w:uiPriority w:val="0"/>
    <w:pPr>
      <w:autoSpaceDE w:val="0"/>
      <w:autoSpaceDN w:val="0"/>
      <w:adjustRightInd w:val="0"/>
      <w:snapToGrid w:val="0"/>
      <w:spacing w:line="360" w:lineRule="auto"/>
      <w:jc w:val="left"/>
      <w:outlineLvl w:val="1"/>
    </w:pPr>
    <w:rPr>
      <w:rFonts w:ascii="仿宋_GB2312" w:eastAsia="仿宋_GB2312" w:cs="MingLiU"/>
      <w:b/>
      <w:spacing w:val="1"/>
      <w:w w:val="99"/>
      <w:kern w:val="0"/>
      <w:sz w:val="28"/>
      <w:szCs w:val="32"/>
    </w:rPr>
  </w:style>
  <w:style w:type="paragraph" w:styleId="4">
    <w:name w:val="heading 3"/>
    <w:basedOn w:val="1"/>
    <w:next w:val="1"/>
    <w:link w:val="35"/>
    <w:qFormat/>
    <w:uiPriority w:val="0"/>
    <w:pPr>
      <w:autoSpaceDE w:val="0"/>
      <w:autoSpaceDN w:val="0"/>
      <w:adjustRightInd w:val="0"/>
      <w:spacing w:before="16"/>
      <w:jc w:val="left"/>
      <w:outlineLvl w:val="2"/>
    </w:pPr>
    <w:rPr>
      <w:rFonts w:ascii="仿宋_GB2312" w:eastAsia="仿宋_GB2312" w:cs="MingLiU"/>
      <w:b/>
      <w:kern w:val="0"/>
      <w:sz w:val="24"/>
      <w:szCs w:val="28"/>
    </w:rPr>
  </w:style>
  <w:style w:type="paragraph" w:styleId="5">
    <w:name w:val="heading 4"/>
    <w:basedOn w:val="4"/>
    <w:next w:val="1"/>
    <w:link w:val="36"/>
    <w:qFormat/>
    <w:uiPriority w:val="0"/>
    <w:pPr>
      <w:jc w:val="center"/>
      <w:outlineLvl w:val="3"/>
    </w:p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43"/>
    <w:qFormat/>
    <w:uiPriority w:val="0"/>
    <w:pPr>
      <w:adjustRightInd w:val="0"/>
      <w:spacing w:line="360" w:lineRule="atLeast"/>
      <w:jc w:val="left"/>
      <w:textAlignment w:val="baseline"/>
    </w:pPr>
    <w:rPr>
      <w:kern w:val="0"/>
      <w:sz w:val="24"/>
      <w:szCs w:val="20"/>
    </w:rPr>
  </w:style>
  <w:style w:type="paragraph" w:styleId="7">
    <w:name w:val="Body Text 3"/>
    <w:basedOn w:val="1"/>
    <w:qFormat/>
    <w:uiPriority w:val="0"/>
    <w:pPr>
      <w:spacing w:after="120"/>
    </w:pPr>
    <w:rPr>
      <w:sz w:val="16"/>
      <w:szCs w:val="16"/>
    </w:rPr>
  </w:style>
  <w:style w:type="paragraph" w:styleId="8">
    <w:name w:val="Body Text"/>
    <w:basedOn w:val="1"/>
    <w:link w:val="38"/>
    <w:qFormat/>
    <w:uiPriority w:val="0"/>
    <w:rPr>
      <w:sz w:val="26"/>
    </w:rPr>
  </w:style>
  <w:style w:type="paragraph" w:styleId="9">
    <w:name w:val="toc 3"/>
    <w:basedOn w:val="1"/>
    <w:next w:val="1"/>
    <w:qFormat/>
    <w:uiPriority w:val="39"/>
    <w:pPr>
      <w:ind w:left="420"/>
      <w:jc w:val="left"/>
    </w:pPr>
    <w:rPr>
      <w:rFonts w:ascii="Calibri" w:hAnsi="Calibri" w:eastAsia="仿宋_GB2312"/>
      <w:iCs/>
      <w:szCs w:val="20"/>
    </w:rPr>
  </w:style>
  <w:style w:type="paragraph" w:styleId="10">
    <w:name w:val="Plain Text"/>
    <w:basedOn w:val="1"/>
    <w:link w:val="53"/>
    <w:qFormat/>
    <w:uiPriority w:val="0"/>
    <w:rPr>
      <w:rFonts w:ascii="宋体" w:hAnsi="Courier New"/>
      <w:sz w:val="28"/>
      <w:szCs w:val="28"/>
    </w:rPr>
  </w:style>
  <w:style w:type="paragraph" w:styleId="11">
    <w:name w:val="Date"/>
    <w:basedOn w:val="1"/>
    <w:next w:val="1"/>
    <w:link w:val="48"/>
    <w:qFormat/>
    <w:uiPriority w:val="0"/>
    <w:pPr>
      <w:ind w:left="100" w:leftChars="2500"/>
    </w:pPr>
  </w:style>
  <w:style w:type="paragraph" w:styleId="12">
    <w:name w:val="Body Text Indent 2"/>
    <w:basedOn w:val="1"/>
    <w:qFormat/>
    <w:uiPriority w:val="0"/>
    <w:pPr>
      <w:ind w:left="1005" w:hanging="1005"/>
    </w:pPr>
    <w:rPr>
      <w:rFonts w:eastAsia="仿宋_GB2312"/>
      <w:sz w:val="32"/>
      <w:szCs w:val="20"/>
    </w:rPr>
  </w:style>
  <w:style w:type="paragraph" w:styleId="13">
    <w:name w:val="Balloon Text"/>
    <w:basedOn w:val="1"/>
    <w:link w:val="54"/>
    <w:qFormat/>
    <w:uiPriority w:val="0"/>
    <w:rPr>
      <w:sz w:val="18"/>
      <w:szCs w:val="18"/>
    </w:rPr>
  </w:style>
  <w:style w:type="paragraph" w:styleId="14">
    <w:name w:val="footer"/>
    <w:basedOn w:val="1"/>
    <w:link w:val="50"/>
    <w:qFormat/>
    <w:uiPriority w:val="99"/>
    <w:pPr>
      <w:tabs>
        <w:tab w:val="center" w:pos="4153"/>
        <w:tab w:val="right" w:pos="8306"/>
      </w:tabs>
      <w:snapToGrid w:val="0"/>
      <w:jc w:val="left"/>
    </w:pPr>
    <w:rPr>
      <w:sz w:val="18"/>
      <w:szCs w:val="18"/>
    </w:rPr>
  </w:style>
  <w:style w:type="paragraph" w:styleId="15">
    <w:name w:val="header"/>
    <w:basedOn w:val="1"/>
    <w:link w:val="52"/>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before="120" w:after="120"/>
      <w:jc w:val="left"/>
    </w:pPr>
    <w:rPr>
      <w:rFonts w:ascii="Calibri" w:hAnsi="Calibri" w:eastAsia="仿宋_GB2312"/>
      <w:b/>
      <w:bCs/>
      <w:caps/>
      <w:sz w:val="28"/>
      <w:szCs w:val="20"/>
    </w:rPr>
  </w:style>
  <w:style w:type="paragraph" w:styleId="17">
    <w:name w:val="Subtitle"/>
    <w:basedOn w:val="1"/>
    <w:link w:val="51"/>
    <w:qFormat/>
    <w:uiPriority w:val="0"/>
    <w:pPr>
      <w:widowControl/>
      <w:jc w:val="center"/>
    </w:pPr>
    <w:rPr>
      <w:kern w:val="0"/>
      <w:sz w:val="20"/>
      <w:u w:val="single"/>
      <w:lang w:eastAsia="en-US"/>
    </w:rPr>
  </w:style>
  <w:style w:type="paragraph" w:styleId="18">
    <w:name w:val="footnote text"/>
    <w:basedOn w:val="1"/>
    <w:link w:val="37"/>
    <w:qFormat/>
    <w:uiPriority w:val="0"/>
    <w:pPr>
      <w:snapToGrid w:val="0"/>
      <w:jc w:val="left"/>
    </w:pPr>
    <w:rPr>
      <w:sz w:val="18"/>
      <w:szCs w:val="18"/>
    </w:rPr>
  </w:style>
  <w:style w:type="paragraph" w:styleId="19">
    <w:name w:val="toc 2"/>
    <w:basedOn w:val="1"/>
    <w:next w:val="1"/>
    <w:qFormat/>
    <w:uiPriority w:val="39"/>
    <w:pPr>
      <w:tabs>
        <w:tab w:val="right" w:leader="dot" w:pos="8609"/>
      </w:tabs>
      <w:spacing w:line="0" w:lineRule="atLeast"/>
      <w:ind w:left="210"/>
      <w:jc w:val="distribute"/>
    </w:pPr>
    <w:rPr>
      <w:rFonts w:ascii="宋体" w:hAnsi="宋体"/>
      <w:b/>
      <w:smallCaps/>
      <w:szCs w:val="21"/>
    </w:rPr>
  </w:style>
  <w:style w:type="paragraph" w:styleId="20">
    <w:name w:val="Body Text 2"/>
    <w:basedOn w:val="1"/>
    <w:link w:val="39"/>
    <w:qFormat/>
    <w:uiPriority w:val="0"/>
    <w:rPr>
      <w:i/>
      <w:iCs/>
      <w:sz w:val="26"/>
    </w:rPr>
  </w:style>
  <w:style w:type="paragraph" w:styleId="21">
    <w:name w:val="List Continue 2"/>
    <w:basedOn w:val="1"/>
    <w:qFormat/>
    <w:uiPriority w:val="0"/>
    <w:pPr>
      <w:spacing w:after="120"/>
      <w:ind w:left="840" w:leftChars="400"/>
    </w:pPr>
    <w:rPr>
      <w:szCs w:val="20"/>
    </w:rPr>
  </w:style>
  <w:style w:type="paragraph" w:styleId="22">
    <w:name w:val="HTML Preformatted"/>
    <w:basedOn w:val="1"/>
    <w:link w:val="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sz w:val="24"/>
      <w:szCs w:val="20"/>
    </w:rPr>
  </w:style>
  <w:style w:type="paragraph" w:styleId="23">
    <w:name w:val="Normal (Web)"/>
    <w:basedOn w:val="1"/>
    <w:qFormat/>
    <w:uiPriority w:val="0"/>
    <w:pPr>
      <w:widowControl/>
      <w:jc w:val="left"/>
    </w:pPr>
    <w:rPr>
      <w:rFonts w:ascii="宋体" w:hAnsi="宋体" w:cs="宋体"/>
      <w:kern w:val="0"/>
      <w:sz w:val="24"/>
    </w:rPr>
  </w:style>
  <w:style w:type="paragraph" w:styleId="24">
    <w:name w:val="annotation subject"/>
    <w:basedOn w:val="6"/>
    <w:next w:val="6"/>
    <w:link w:val="42"/>
    <w:qFormat/>
    <w:uiPriority w:val="0"/>
    <w:pPr>
      <w:adjustRightInd/>
      <w:spacing w:line="240" w:lineRule="auto"/>
      <w:textAlignment w:val="auto"/>
    </w:pPr>
    <w:rPr>
      <w:b/>
      <w:bCs/>
      <w:kern w:val="2"/>
      <w:sz w:val="21"/>
      <w:szCs w:val="24"/>
    </w:rPr>
  </w:style>
  <w:style w:type="paragraph" w:styleId="25">
    <w:name w:val="Body Text First Indent"/>
    <w:basedOn w:val="8"/>
    <w:link w:val="41"/>
    <w:qFormat/>
    <w:uiPriority w:val="0"/>
    <w:pPr>
      <w:spacing w:after="120"/>
      <w:ind w:firstLine="420" w:firstLineChars="100"/>
    </w:pPr>
    <w:rPr>
      <w:sz w:val="28"/>
    </w:rPr>
  </w:style>
  <w:style w:type="table" w:styleId="27">
    <w:name w:val="Table Grid"/>
    <w:basedOn w:val="26"/>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basedOn w:val="28"/>
    <w:qFormat/>
    <w:uiPriority w:val="0"/>
  </w:style>
  <w:style w:type="character" w:styleId="30">
    <w:name w:val="Emphasis"/>
    <w:qFormat/>
    <w:uiPriority w:val="20"/>
    <w:rPr>
      <w:i/>
      <w:iCs/>
    </w:rPr>
  </w:style>
  <w:style w:type="character" w:styleId="31">
    <w:name w:val="Hyperlink"/>
    <w:qFormat/>
    <w:uiPriority w:val="99"/>
    <w:rPr>
      <w:color w:val="0000FF"/>
      <w:u w:val="single"/>
    </w:rPr>
  </w:style>
  <w:style w:type="character" w:styleId="32">
    <w:name w:val="annotation reference"/>
    <w:semiHidden/>
    <w:qFormat/>
    <w:uiPriority w:val="0"/>
    <w:rPr>
      <w:sz w:val="21"/>
      <w:szCs w:val="21"/>
    </w:rPr>
  </w:style>
  <w:style w:type="character" w:customStyle="1" w:styleId="33">
    <w:name w:val="标题 1 字符"/>
    <w:link w:val="2"/>
    <w:qFormat/>
    <w:uiPriority w:val="0"/>
    <w:rPr>
      <w:rFonts w:eastAsia="黑体"/>
      <w:kern w:val="2"/>
      <w:sz w:val="44"/>
      <w:szCs w:val="44"/>
    </w:rPr>
  </w:style>
  <w:style w:type="character" w:customStyle="1" w:styleId="34">
    <w:name w:val="标题 2 字符"/>
    <w:link w:val="3"/>
    <w:qFormat/>
    <w:uiPriority w:val="0"/>
    <w:rPr>
      <w:rFonts w:ascii="仿宋_GB2312" w:eastAsia="仿宋_GB2312" w:cs="MingLiU"/>
      <w:b/>
      <w:spacing w:val="1"/>
      <w:w w:val="99"/>
      <w:sz w:val="28"/>
      <w:szCs w:val="32"/>
      <w:lang w:val="en-US" w:eastAsia="zh-CN" w:bidi="ar-SA"/>
    </w:rPr>
  </w:style>
  <w:style w:type="character" w:customStyle="1" w:styleId="35">
    <w:name w:val="标题 3 字符"/>
    <w:link w:val="4"/>
    <w:qFormat/>
    <w:uiPriority w:val="0"/>
    <w:rPr>
      <w:rFonts w:ascii="仿宋_GB2312" w:eastAsia="仿宋_GB2312" w:cs="MingLiU"/>
      <w:b/>
      <w:sz w:val="24"/>
      <w:szCs w:val="28"/>
      <w:lang w:val="en-US" w:eastAsia="zh-CN" w:bidi="ar-SA"/>
    </w:rPr>
  </w:style>
  <w:style w:type="character" w:customStyle="1" w:styleId="36">
    <w:name w:val="标题 4 字符"/>
    <w:link w:val="5"/>
    <w:qFormat/>
    <w:uiPriority w:val="0"/>
    <w:rPr>
      <w:rFonts w:ascii="仿宋_GB2312" w:eastAsia="仿宋_GB2312" w:cs="MingLiU"/>
      <w:b/>
      <w:sz w:val="24"/>
      <w:szCs w:val="28"/>
      <w:lang w:val="en-US" w:eastAsia="zh-CN" w:bidi="ar-SA"/>
    </w:rPr>
  </w:style>
  <w:style w:type="character" w:customStyle="1" w:styleId="37">
    <w:name w:val="脚注文本 字符"/>
    <w:link w:val="18"/>
    <w:qFormat/>
    <w:uiPriority w:val="0"/>
    <w:rPr>
      <w:rFonts w:eastAsia="宋体"/>
      <w:kern w:val="2"/>
      <w:sz w:val="18"/>
      <w:szCs w:val="18"/>
      <w:lang w:val="en-US" w:eastAsia="zh-CN" w:bidi="ar-SA"/>
    </w:rPr>
  </w:style>
  <w:style w:type="character" w:customStyle="1" w:styleId="38">
    <w:name w:val="正文文本 字符"/>
    <w:link w:val="8"/>
    <w:qFormat/>
    <w:uiPriority w:val="0"/>
    <w:rPr>
      <w:rFonts w:eastAsia="宋体"/>
      <w:kern w:val="2"/>
      <w:sz w:val="26"/>
      <w:szCs w:val="24"/>
      <w:lang w:val="en-US" w:eastAsia="zh-CN" w:bidi="ar-SA"/>
    </w:rPr>
  </w:style>
  <w:style w:type="character" w:customStyle="1" w:styleId="39">
    <w:name w:val="正文文本 2 字符"/>
    <w:link w:val="20"/>
    <w:qFormat/>
    <w:uiPriority w:val="0"/>
    <w:rPr>
      <w:rFonts w:eastAsia="宋体"/>
      <w:i/>
      <w:iCs/>
      <w:kern w:val="2"/>
      <w:sz w:val="26"/>
      <w:szCs w:val="24"/>
      <w:lang w:val="en-US" w:eastAsia="zh-CN" w:bidi="ar-SA"/>
    </w:rPr>
  </w:style>
  <w:style w:type="character" w:customStyle="1" w:styleId="40">
    <w:name w:val="Char Char12"/>
    <w:qFormat/>
    <w:uiPriority w:val="0"/>
    <w:rPr>
      <w:rFonts w:ascii="仿宋_GB2312" w:eastAsia="仿宋_GB2312" w:cs="MingLiU"/>
      <w:b/>
      <w:spacing w:val="1"/>
      <w:w w:val="99"/>
      <w:sz w:val="28"/>
      <w:szCs w:val="32"/>
      <w:lang w:val="en-US" w:eastAsia="zh-CN" w:bidi="ar-SA"/>
    </w:rPr>
  </w:style>
  <w:style w:type="character" w:customStyle="1" w:styleId="41">
    <w:name w:val="正文文本首行缩进 字符"/>
    <w:link w:val="25"/>
    <w:qFormat/>
    <w:uiPriority w:val="0"/>
    <w:rPr>
      <w:rFonts w:eastAsia="宋体"/>
      <w:kern w:val="2"/>
      <w:sz w:val="28"/>
      <w:szCs w:val="24"/>
      <w:lang w:val="en-US" w:eastAsia="zh-CN" w:bidi="ar-SA"/>
    </w:rPr>
  </w:style>
  <w:style w:type="character" w:customStyle="1" w:styleId="42">
    <w:name w:val="批注主题 字符"/>
    <w:link w:val="24"/>
    <w:qFormat/>
    <w:uiPriority w:val="0"/>
    <w:rPr>
      <w:rFonts w:eastAsia="宋体"/>
      <w:b/>
      <w:bCs/>
      <w:kern w:val="2"/>
      <w:sz w:val="21"/>
      <w:szCs w:val="24"/>
      <w:lang w:val="en-US" w:eastAsia="zh-CN" w:bidi="ar-SA"/>
    </w:rPr>
  </w:style>
  <w:style w:type="character" w:customStyle="1" w:styleId="43">
    <w:name w:val="批注文字 字符"/>
    <w:link w:val="6"/>
    <w:qFormat/>
    <w:uiPriority w:val="0"/>
    <w:rPr>
      <w:rFonts w:eastAsia="宋体"/>
      <w:sz w:val="24"/>
      <w:lang w:val="en-US" w:eastAsia="zh-CN" w:bidi="ar-SA"/>
    </w:rPr>
  </w:style>
  <w:style w:type="character" w:customStyle="1" w:styleId="44">
    <w:name w:val="HTML 预设格式 字符"/>
    <w:link w:val="22"/>
    <w:qFormat/>
    <w:uiPriority w:val="0"/>
    <w:rPr>
      <w:rFonts w:ascii="宋体" w:hAnsi="宋体"/>
      <w:color w:val="000000"/>
      <w:kern w:val="2"/>
      <w:sz w:val="24"/>
    </w:rPr>
  </w:style>
  <w:style w:type="character" w:customStyle="1" w:styleId="45">
    <w:name w:val="5号正文 Char"/>
    <w:link w:val="46"/>
    <w:qFormat/>
    <w:uiPriority w:val="0"/>
    <w:rPr>
      <w:rFonts w:ascii="楷体_GB2312" w:hAnsi="宋体" w:eastAsia="楷体_GB2312"/>
      <w:snapToGrid w:val="0"/>
      <w:sz w:val="24"/>
      <w:szCs w:val="28"/>
      <w:lang w:val="en-US" w:eastAsia="zh-CN" w:bidi="ar-SA"/>
    </w:rPr>
  </w:style>
  <w:style w:type="paragraph" w:customStyle="1" w:styleId="46">
    <w:name w:val="5号正文"/>
    <w:link w:val="45"/>
    <w:qFormat/>
    <w:uiPriority w:val="0"/>
    <w:pPr>
      <w:widowControl w:val="0"/>
      <w:adjustRightInd w:val="0"/>
      <w:snapToGrid w:val="0"/>
      <w:spacing w:line="360" w:lineRule="auto"/>
      <w:ind w:firstLine="480" w:firstLineChars="200"/>
      <w:jc w:val="both"/>
    </w:pPr>
    <w:rPr>
      <w:rFonts w:ascii="楷体_GB2312" w:hAnsi="宋体" w:eastAsia="楷体_GB2312" w:cs="Times New Roman"/>
      <w:snapToGrid w:val="0"/>
      <w:sz w:val="24"/>
      <w:szCs w:val="28"/>
      <w:lang w:val="en-US" w:eastAsia="zh-CN" w:bidi="ar-SA"/>
    </w:rPr>
  </w:style>
  <w:style w:type="character" w:customStyle="1" w:styleId="47">
    <w:name w:val="副标题 Char1"/>
    <w:qFormat/>
    <w:uiPriority w:val="0"/>
    <w:rPr>
      <w:rFonts w:ascii="Calibri Light" w:hAnsi="Calibri Light" w:cs="Times New Roman"/>
      <w:b/>
      <w:bCs/>
      <w:kern w:val="28"/>
      <w:sz w:val="32"/>
      <w:szCs w:val="32"/>
    </w:rPr>
  </w:style>
  <w:style w:type="character" w:customStyle="1" w:styleId="48">
    <w:name w:val="日期 字符"/>
    <w:link w:val="11"/>
    <w:qFormat/>
    <w:uiPriority w:val="0"/>
    <w:rPr>
      <w:kern w:val="2"/>
      <w:sz w:val="21"/>
      <w:szCs w:val="24"/>
    </w:rPr>
  </w:style>
  <w:style w:type="character" w:customStyle="1" w:styleId="49">
    <w:name w:val="Char Char11"/>
    <w:qFormat/>
    <w:uiPriority w:val="0"/>
    <w:rPr>
      <w:rFonts w:ascii="仿宋_GB2312" w:eastAsia="仿宋_GB2312" w:cs="MingLiU"/>
      <w:b/>
      <w:sz w:val="24"/>
      <w:szCs w:val="28"/>
      <w:lang w:val="en-US" w:eastAsia="zh-CN" w:bidi="ar-SA"/>
    </w:rPr>
  </w:style>
  <w:style w:type="character" w:customStyle="1" w:styleId="50">
    <w:name w:val="页脚 字符"/>
    <w:link w:val="14"/>
    <w:qFormat/>
    <w:uiPriority w:val="99"/>
    <w:rPr>
      <w:rFonts w:eastAsia="宋体"/>
      <w:kern w:val="2"/>
      <w:sz w:val="18"/>
      <w:szCs w:val="18"/>
      <w:lang w:val="en-US" w:eastAsia="zh-CN" w:bidi="ar-SA"/>
    </w:rPr>
  </w:style>
  <w:style w:type="character" w:customStyle="1" w:styleId="51">
    <w:name w:val="副标题 字符"/>
    <w:link w:val="17"/>
    <w:qFormat/>
    <w:uiPriority w:val="0"/>
    <w:rPr>
      <w:szCs w:val="24"/>
      <w:u w:val="single"/>
      <w:lang w:eastAsia="en-US"/>
    </w:rPr>
  </w:style>
  <w:style w:type="character" w:customStyle="1" w:styleId="52">
    <w:name w:val="页眉 字符"/>
    <w:link w:val="15"/>
    <w:qFormat/>
    <w:uiPriority w:val="0"/>
    <w:rPr>
      <w:rFonts w:eastAsia="宋体"/>
      <w:kern w:val="2"/>
      <w:sz w:val="18"/>
      <w:szCs w:val="18"/>
      <w:lang w:val="en-US" w:eastAsia="zh-CN" w:bidi="ar-SA"/>
    </w:rPr>
  </w:style>
  <w:style w:type="character" w:customStyle="1" w:styleId="53">
    <w:name w:val="纯文本 字符"/>
    <w:link w:val="10"/>
    <w:qFormat/>
    <w:uiPriority w:val="0"/>
    <w:rPr>
      <w:rFonts w:ascii="宋体" w:hAnsi="Courier New" w:eastAsia="宋体"/>
      <w:kern w:val="2"/>
      <w:sz w:val="28"/>
      <w:szCs w:val="28"/>
      <w:lang w:val="en-US" w:eastAsia="zh-CN" w:bidi="ar-SA"/>
    </w:rPr>
  </w:style>
  <w:style w:type="character" w:customStyle="1" w:styleId="54">
    <w:name w:val="批注框文本 字符"/>
    <w:link w:val="13"/>
    <w:qFormat/>
    <w:uiPriority w:val="0"/>
    <w:rPr>
      <w:rFonts w:eastAsia="宋体"/>
      <w:kern w:val="2"/>
      <w:sz w:val="18"/>
      <w:szCs w:val="18"/>
      <w:lang w:val="en-US" w:eastAsia="zh-CN" w:bidi="ar-SA"/>
    </w:rPr>
  </w:style>
  <w:style w:type="character" w:customStyle="1" w:styleId="55">
    <w:name w:val="5号正文 Char Char"/>
    <w:qFormat/>
    <w:uiPriority w:val="0"/>
    <w:rPr>
      <w:rFonts w:ascii="楷体_GB2312" w:hAnsi="宋体" w:eastAsia="楷体_GB2312"/>
      <w:snapToGrid w:val="0"/>
      <w:sz w:val="24"/>
      <w:szCs w:val="28"/>
    </w:rPr>
  </w:style>
  <w:style w:type="paragraph" w:customStyle="1" w:styleId="56">
    <w:name w:val="Char Char Char Char"/>
    <w:basedOn w:val="1"/>
    <w:qFormat/>
    <w:uiPriority w:val="0"/>
    <w:pPr>
      <w:jc w:val="center"/>
    </w:pPr>
    <w:rPr>
      <w:rFonts w:ascii="仿宋_GB2312" w:eastAsia="仿宋_GB2312"/>
      <w:b/>
      <w:sz w:val="32"/>
      <w:szCs w:val="32"/>
    </w:rPr>
  </w:style>
  <w:style w:type="paragraph" w:customStyle="1" w:styleId="57">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8">
    <w:name w:val="标准样式1"/>
    <w:basedOn w:val="1"/>
    <w:qFormat/>
    <w:uiPriority w:val="0"/>
    <w:pPr>
      <w:spacing w:line="600" w:lineRule="exact"/>
      <w:ind w:firstLine="567"/>
    </w:pPr>
    <w:rPr>
      <w:sz w:val="28"/>
    </w:rPr>
  </w:style>
  <w:style w:type="paragraph" w:customStyle="1" w:styleId="5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0">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customStyle="1" w:styleId="61">
    <w:name w:val="Char Char29 Char Char Char Char Char Char"/>
    <w:basedOn w:val="1"/>
    <w:qFormat/>
    <w:uiPriority w:val="0"/>
    <w:pPr>
      <w:spacing w:beforeLines="50" w:afterLines="50"/>
    </w:pPr>
    <w:rPr>
      <w:rFonts w:ascii="Tahoma" w:hAnsi="Tahoma"/>
      <w:sz w:val="24"/>
      <w:szCs w:val="20"/>
    </w:rPr>
  </w:style>
  <w:style w:type="paragraph" w:customStyle="1" w:styleId="62">
    <w:name w:val="正文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3">
    <w:name w:val="Char"/>
    <w:basedOn w:val="1"/>
    <w:qFormat/>
    <w:uiPriority w:val="0"/>
    <w:rPr>
      <w:szCs w:val="20"/>
    </w:rPr>
  </w:style>
  <w:style w:type="paragraph" w:customStyle="1" w:styleId="64">
    <w:name w:val="正文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5">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6">
    <w:name w:val="Char Char1 Char Char Char Char Char Char Char"/>
    <w:basedOn w:val="1"/>
    <w:qFormat/>
    <w:uiPriority w:val="0"/>
    <w:pPr>
      <w:pageBreakBefore/>
    </w:pPr>
    <w:rPr>
      <w:szCs w:val="20"/>
    </w:rPr>
  </w:style>
  <w:style w:type="paragraph" w:customStyle="1" w:styleId="67">
    <w:name w:val="宋体 5号"/>
    <w:basedOn w:val="1"/>
    <w:qFormat/>
    <w:uiPriority w:val="0"/>
    <w:pPr>
      <w:spacing w:line="240" w:lineRule="exact"/>
    </w:pPr>
    <w:rPr>
      <w:szCs w:val="20"/>
    </w:rPr>
  </w:style>
  <w:style w:type="paragraph" w:customStyle="1" w:styleId="68">
    <w:name w:val="Char Char Char Char Char Char Char Char Char"/>
    <w:basedOn w:val="1"/>
    <w:qFormat/>
    <w:uiPriority w:val="0"/>
  </w:style>
  <w:style w:type="paragraph" w:customStyle="1" w:styleId="69">
    <w:name w:val="样式3"/>
    <w:basedOn w:val="4"/>
    <w:qFormat/>
    <w:uiPriority w:val="0"/>
    <w:pPr>
      <w:keepNext/>
      <w:keepLines/>
      <w:spacing w:before="0" w:line="360" w:lineRule="auto"/>
      <w:ind w:left="119" w:right="-23"/>
    </w:pPr>
    <w:rPr>
      <w:rFonts w:ascii="宋体" w:hAnsi="宋体" w:cs="Times New Roman"/>
      <w:bCs/>
      <w:szCs w:val="32"/>
    </w:rPr>
  </w:style>
  <w:style w:type="paragraph" w:customStyle="1" w:styleId="70">
    <w:name w:val="样式2"/>
    <w:basedOn w:val="3"/>
    <w:qFormat/>
    <w:uiPriority w:val="0"/>
    <w:pPr>
      <w:keepNext/>
      <w:keepLines/>
      <w:snapToGrid/>
      <w:spacing w:before="260" w:after="260" w:line="300" w:lineRule="exact"/>
      <w:ind w:left="220" w:right="-20"/>
      <w:jc w:val="center"/>
    </w:pPr>
    <w:rPr>
      <w:rFonts w:ascii="宋体" w:hAnsi="宋体" w:cs="Times New Roman"/>
      <w:bCs/>
      <w:spacing w:val="0"/>
      <w:szCs w:val="28"/>
    </w:rPr>
  </w:style>
  <w:style w:type="paragraph" w:customStyle="1" w:styleId="71">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72">
    <w:name w:val="正文 New"/>
    <w:basedOn w:val="1"/>
    <w:qFormat/>
    <w:uiPriority w:val="0"/>
    <w:rPr>
      <w:szCs w:val="21"/>
    </w:rPr>
  </w:style>
  <w:style w:type="character" w:customStyle="1" w:styleId="73">
    <w:name w:val="font51"/>
    <w:basedOn w:val="28"/>
    <w:qFormat/>
    <w:uiPriority w:val="0"/>
    <w:rPr>
      <w:rFonts w:hint="eastAsia" w:ascii="方正仿宋_GBK" w:hAnsi="方正仿宋_GBK" w:eastAsia="方正仿宋_GBK" w:cs="方正仿宋_GBK"/>
      <w:color w:val="000000"/>
      <w:sz w:val="24"/>
      <w:szCs w:val="24"/>
      <w:u w:val="none"/>
    </w:rPr>
  </w:style>
  <w:style w:type="character" w:customStyle="1" w:styleId="74">
    <w:name w:val="font41"/>
    <w:basedOn w:val="28"/>
    <w:qFormat/>
    <w:uiPriority w:val="0"/>
    <w:rPr>
      <w:rFonts w:hint="eastAsia" w:ascii="方正仿宋_GBK" w:hAnsi="方正仿宋_GBK" w:eastAsia="方正仿宋_GBK" w:cs="方正仿宋_GBK"/>
      <w:b/>
      <w:color w:val="000000"/>
      <w:sz w:val="24"/>
      <w:szCs w:val="24"/>
      <w:u w:val="none"/>
    </w:rPr>
  </w:style>
  <w:style w:type="character" w:customStyle="1" w:styleId="75">
    <w:name w:val="未处理的提及1"/>
    <w:basedOn w:val="28"/>
    <w:semiHidden/>
    <w:unhideWhenUsed/>
    <w:qFormat/>
    <w:uiPriority w:val="99"/>
    <w:rPr>
      <w:color w:val="605E5C"/>
      <w:shd w:val="clear" w:color="auto" w:fill="E1DFDD"/>
    </w:rPr>
  </w:style>
  <w:style w:type="paragraph" w:customStyle="1" w:styleId="76">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77">
    <w:name w:val="修订2"/>
    <w:hidden/>
    <w:unhideWhenUsed/>
    <w:qFormat/>
    <w:uiPriority w:val="99"/>
    <w:rPr>
      <w:rFonts w:ascii="Times New Roman" w:hAnsi="Times New Roman" w:eastAsia="宋体" w:cs="Times New Roman"/>
      <w:kern w:val="2"/>
      <w:sz w:val="21"/>
      <w:szCs w:val="24"/>
      <w:lang w:val="en-US" w:eastAsia="zh-CN" w:bidi="ar-SA"/>
    </w:rPr>
  </w:style>
  <w:style w:type="table" w:customStyle="1" w:styleId="78">
    <w:name w:val="Table Normal"/>
    <w:semiHidden/>
    <w:unhideWhenUsed/>
    <w:qFormat/>
    <w:uiPriority w:val="0"/>
    <w:tblPr>
      <w:tblCellMar>
        <w:top w:w="0" w:type="dxa"/>
        <w:left w:w="0" w:type="dxa"/>
        <w:bottom w:w="0" w:type="dxa"/>
        <w:right w:w="0" w:type="dxa"/>
      </w:tblCellMar>
    </w:tblPr>
  </w:style>
  <w:style w:type="paragraph" w:customStyle="1" w:styleId="79">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80">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895CE-34F6-4745-B4F0-A1466DA77E6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3795</Words>
  <Characters>4150</Characters>
  <Lines>57</Lines>
  <Paragraphs>16</Paragraphs>
  <TotalTime>139</TotalTime>
  <ScaleCrop>false</ScaleCrop>
  <LinksUpToDate>false</LinksUpToDate>
  <CharactersWithSpaces>4227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2021-07-16T02:42:00Z</dcterms:created>
  <dc:creator>微软用户</dc:creator>
  <cp:lastModifiedBy>张平</cp:lastModifiedBy>
  <cp:lastPrinted>2026-01-27T11:45:00Z</cp:lastPrinted>
  <dcterms:modified xsi:type="dcterms:W3CDTF">2026-06-10T02:56:34Z</dcterms:modified>
  <dc:title>经开区南北干道、开成路北段道路景观设计</dc:title>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EC67C6434E954B9B8D188CA17FCB0251_13</vt:lpwstr>
  </property>
  <property fmtid="{D5CDD505-2E9C-101B-9397-08002B2CF9AE}" pid="4" name="KSOTemplateDocerSaveRecord">
    <vt:lpwstr>eyJoZGlkIjoiOTRmOWYwOTMxZTU4ZjQxYmRiNGE0YTE4MDJkODY0MjgiLCJ1c2VySWQiOiI2NDE3NDE0MDgifQ==</vt:lpwstr>
  </property>
</Properties>
</file>