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附件1</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区属国有重点企业</w:t>
      </w:r>
      <w:r>
        <w:rPr>
          <w:rFonts w:hint="eastAsia" w:ascii="方正小标宋_GBK" w:hAnsi="方正小标宋_GBK" w:eastAsia="方正小标宋_GBK" w:cs="方正小标宋_GBK"/>
          <w:sz w:val="44"/>
          <w:szCs w:val="44"/>
          <w:lang w:val="en-US" w:eastAsia="zh-CN"/>
        </w:rPr>
        <w:t>简介</w:t>
      </w:r>
      <w:bookmarkStart w:id="0" w:name="_GoBack"/>
      <w:bookmarkEnd w:id="0"/>
    </w:p>
    <w:p>
      <w:pPr>
        <w:spacing w:line="560" w:lineRule="exact"/>
        <w:ind w:firstLine="640" w:firstLineChars="200"/>
        <w:rPr>
          <w:rFonts w:hint="eastAsia" w:ascii="Times New Roman" w:hAnsi="Times New Roman" w:eastAsia="方正黑体_GBK" w:cs="Times New Roman"/>
          <w:sz w:val="32"/>
          <w:szCs w:val="32"/>
        </w:rPr>
      </w:pPr>
    </w:p>
    <w:p>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w:t>
      </w:r>
      <w:r>
        <w:rPr>
          <w:rFonts w:hint="eastAsia" w:ascii="Times New Roman" w:hAnsi="Times New Roman" w:eastAsia="方正黑体_GBK" w:cs="Times New Roman"/>
          <w:sz w:val="32"/>
          <w:szCs w:val="32"/>
        </w:rPr>
        <w:t>重庆国际物流枢纽园区建设有限责任公司</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重庆国际物流枢纽园区于2007年设立，占地35.5平方公里，是依托团结村铁路集装箱中心站和兴隆场特大型铁路编组站设立的内陆保税国际物流枢纽园区，是中欧班列（渝新欧）与西部陆海新通道源发地和起始站，重庆铁路口岸、保税物流中心所在地，是国家发改委批复重庆设立的陆港型国家物流枢纽、中欧班列集结中心，为国家服务标准化、交通强国双试点，两大国家多式联运示范工程承载体。2021年重庆两会期间，市委书记陈敏尔到沙坪坝代表团参加审议，要求园区以物流为主导产业，打好“开放牌”，并对“国际物流城”建设寄予厚望。根据陈书记重要讲话，园区被明确为重庆6张名片之一“枢纽港”的组成，为全市大通道、大口岸、大物流建设的重要平台。</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重庆国际物流枢纽建设有限责任公司为重庆国际物流枢纽园区唯一运营建设主体，沙坪坝区直管重点国企，统揽园区开发、开放等平台服务职能，是以国有为引导，以市场为基础，广泛涉及仓储物流、国际贸易、金融结算、城市综合配套等产业的集团化公司，直接服务40余个大型产业项目，已签约合作企业逾5000家。</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公司立足国际物流枢纽园区口岸、通道、保税等优势资源，以物流产业为主导，布局口岸物流、多式联运、国际贸易、供应链金融及大宗商品交易产业，并持续实施港产城景融合战略，加快医教娱养和国际社区等城市业态的开发建设，目前正推进国际物流城“升级版”、开放引领示范区建设。到2030年，公司将建成城市人口50万、进出口贸易额达1000亿、物流体量超全市总量10%的现代化国际物流新城。</w:t>
      </w:r>
    </w:p>
    <w:p>
      <w:pPr>
        <w:spacing w:line="560" w:lineRule="exact"/>
        <w:ind w:firstLine="640" w:firstLineChars="2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二、重庆共享工业投资有限公司</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val="0"/>
          <w:bCs w:val="0"/>
          <w:color w:val="000000"/>
          <w:sz w:val="32"/>
          <w:szCs w:val="32"/>
          <w:lang w:val="en-US" w:eastAsia="zh-CN"/>
        </w:rPr>
        <w:t>青凤高科产业园</w:t>
      </w:r>
      <w:r>
        <w:rPr>
          <w:rFonts w:hint="eastAsia" w:ascii="Times New Roman" w:hAnsi="Times New Roman" w:eastAsia="方正仿宋_GBK" w:cs="Times New Roman"/>
          <w:b w:val="0"/>
          <w:bCs w:val="0"/>
          <w:color w:val="000000"/>
          <w:sz w:val="32"/>
          <w:szCs w:val="32"/>
          <w:lang w:val="en-US" w:eastAsia="zh-CN"/>
        </w:rPr>
        <w:t>位于沙坪坝西部、科学城发展主轴，</w:t>
      </w:r>
      <w:r>
        <w:rPr>
          <w:rFonts w:hint="default" w:ascii="Times New Roman" w:hAnsi="Times New Roman" w:eastAsia="方正仿宋_GBK" w:cs="Times New Roman"/>
          <w:b w:val="0"/>
          <w:bCs w:val="0"/>
          <w:color w:val="000000"/>
          <w:kern w:val="2"/>
          <w:sz w:val="32"/>
          <w:szCs w:val="32"/>
          <w:highlight w:val="none"/>
          <w:lang w:val="en-US" w:eastAsia="zh-CN" w:bidi="ar-SA"/>
        </w:rPr>
        <w:t>紧邻重庆大学城、重庆铁路口岸、自贸区、西永微电园等科创产业要素</w:t>
      </w:r>
      <w:r>
        <w:rPr>
          <w:rFonts w:hint="default" w:ascii="Times New Roman" w:hAnsi="Times New Roman" w:eastAsia="方正仿宋_GBK" w:cs="Times New Roman"/>
          <w:b w:val="0"/>
          <w:i w:val="0"/>
          <w:caps w:val="0"/>
          <w:smallCaps w:val="0"/>
          <w:color w:val="000000"/>
          <w:spacing w:val="0"/>
          <w:w w:val="100"/>
          <w:kern w:val="2"/>
          <w:sz w:val="32"/>
          <w:szCs w:val="32"/>
          <w:highlight w:val="none"/>
          <w:lang w:val="en-US" w:eastAsia="zh-CN" w:bidi="ar-SA"/>
        </w:rPr>
        <w:t>，是</w:t>
      </w:r>
      <w:r>
        <w:rPr>
          <w:rFonts w:hint="eastAsia" w:ascii="Times New Roman" w:hAnsi="Times New Roman" w:eastAsia="方正仿宋_GBK" w:cs="Times New Roman"/>
          <w:b w:val="0"/>
          <w:i w:val="0"/>
          <w:caps w:val="0"/>
          <w:smallCaps w:val="0"/>
          <w:color w:val="000000"/>
          <w:spacing w:val="0"/>
          <w:w w:val="100"/>
          <w:kern w:val="2"/>
          <w:sz w:val="32"/>
          <w:szCs w:val="32"/>
          <w:highlight w:val="none"/>
          <w:lang w:val="en-US" w:eastAsia="zh-CN" w:bidi="ar-SA"/>
        </w:rPr>
        <w:t>“</w:t>
      </w:r>
      <w:r>
        <w:rPr>
          <w:rFonts w:hint="default" w:ascii="Times New Roman" w:hAnsi="Times New Roman" w:eastAsia="方正仿宋_GBK" w:cs="Times New Roman"/>
          <w:b w:val="0"/>
          <w:i w:val="0"/>
          <w:caps w:val="0"/>
          <w:smallCaps w:val="0"/>
          <w:color w:val="000000"/>
          <w:spacing w:val="0"/>
          <w:w w:val="100"/>
          <w:kern w:val="2"/>
          <w:sz w:val="32"/>
          <w:szCs w:val="32"/>
          <w:highlight w:val="none"/>
          <w:lang w:val="en-US" w:eastAsia="zh-CN" w:bidi="ar-SA"/>
        </w:rPr>
        <w:t>一带一路</w:t>
      </w:r>
      <w:r>
        <w:rPr>
          <w:rFonts w:hint="eastAsia" w:ascii="Times New Roman" w:hAnsi="Times New Roman" w:eastAsia="方正仿宋_GBK" w:cs="Times New Roman"/>
          <w:b w:val="0"/>
          <w:i w:val="0"/>
          <w:caps w:val="0"/>
          <w:smallCaps w:val="0"/>
          <w:color w:val="000000"/>
          <w:spacing w:val="0"/>
          <w:w w:val="100"/>
          <w:kern w:val="2"/>
          <w:sz w:val="32"/>
          <w:szCs w:val="32"/>
          <w:highlight w:val="none"/>
          <w:lang w:val="en-US" w:eastAsia="zh-CN" w:bidi="ar-SA"/>
        </w:rPr>
        <w:t>”</w:t>
      </w:r>
      <w:r>
        <w:rPr>
          <w:rFonts w:hint="default" w:ascii="Times New Roman" w:hAnsi="Times New Roman" w:eastAsia="方正仿宋_GBK" w:cs="Times New Roman"/>
          <w:b w:val="0"/>
          <w:i w:val="0"/>
          <w:caps w:val="0"/>
          <w:smallCaps w:val="0"/>
          <w:color w:val="000000"/>
          <w:spacing w:val="0"/>
          <w:w w:val="100"/>
          <w:kern w:val="2"/>
          <w:sz w:val="32"/>
          <w:szCs w:val="32"/>
          <w:highlight w:val="none"/>
          <w:lang w:val="en-US" w:eastAsia="zh-CN" w:bidi="ar-SA"/>
        </w:rPr>
        <w:t>制造业承接地，是西部（重庆）科学城建设的主战场，是沙坪坝区打好</w:t>
      </w:r>
      <w:r>
        <w:rPr>
          <w:rFonts w:hint="eastAsia" w:ascii="Times New Roman" w:hAnsi="Times New Roman" w:eastAsia="方正仿宋_GBK" w:cs="Times New Roman"/>
          <w:b w:val="0"/>
          <w:i w:val="0"/>
          <w:caps w:val="0"/>
          <w:smallCaps w:val="0"/>
          <w:color w:val="000000"/>
          <w:spacing w:val="0"/>
          <w:w w:val="100"/>
          <w:kern w:val="2"/>
          <w:sz w:val="32"/>
          <w:szCs w:val="32"/>
          <w:highlight w:val="none"/>
          <w:lang w:val="en-US" w:eastAsia="zh-CN" w:bidi="ar-SA"/>
        </w:rPr>
        <w:t>“</w:t>
      </w:r>
      <w:r>
        <w:rPr>
          <w:rFonts w:hint="default" w:ascii="Times New Roman" w:hAnsi="Times New Roman" w:eastAsia="方正仿宋_GBK" w:cs="Times New Roman"/>
          <w:b w:val="0"/>
          <w:i w:val="0"/>
          <w:caps w:val="0"/>
          <w:smallCaps w:val="0"/>
          <w:color w:val="000000"/>
          <w:spacing w:val="0"/>
          <w:w w:val="100"/>
          <w:kern w:val="2"/>
          <w:sz w:val="32"/>
          <w:szCs w:val="32"/>
          <w:highlight w:val="none"/>
          <w:lang w:val="en-US" w:eastAsia="zh-CN" w:bidi="ar-SA"/>
        </w:rPr>
        <w:t>创新牌</w:t>
      </w:r>
      <w:r>
        <w:rPr>
          <w:rFonts w:hint="eastAsia" w:ascii="Times New Roman" w:hAnsi="Times New Roman" w:eastAsia="方正仿宋_GBK" w:cs="Times New Roman"/>
          <w:b w:val="0"/>
          <w:i w:val="0"/>
          <w:caps w:val="0"/>
          <w:smallCaps w:val="0"/>
          <w:color w:val="000000"/>
          <w:spacing w:val="0"/>
          <w:w w:val="100"/>
          <w:kern w:val="2"/>
          <w:sz w:val="32"/>
          <w:szCs w:val="32"/>
          <w:highlight w:val="none"/>
          <w:lang w:val="en-US" w:eastAsia="zh-CN" w:bidi="ar-SA"/>
        </w:rPr>
        <w:t>”</w:t>
      </w:r>
      <w:r>
        <w:rPr>
          <w:rFonts w:hint="default" w:ascii="Times New Roman" w:hAnsi="Times New Roman" w:eastAsia="方正仿宋_GBK" w:cs="Times New Roman"/>
          <w:b w:val="0"/>
          <w:i w:val="0"/>
          <w:caps w:val="0"/>
          <w:smallCaps w:val="0"/>
          <w:color w:val="000000"/>
          <w:spacing w:val="0"/>
          <w:w w:val="100"/>
          <w:kern w:val="2"/>
          <w:sz w:val="32"/>
          <w:szCs w:val="32"/>
          <w:highlight w:val="none"/>
          <w:lang w:val="en-US" w:eastAsia="zh-CN" w:bidi="ar-SA"/>
        </w:rPr>
        <w:t>的主力军。</w:t>
      </w:r>
      <w:r>
        <w:rPr>
          <w:rFonts w:hint="eastAsia" w:ascii="Times New Roman" w:hAnsi="Times New Roman" w:eastAsia="方正仿宋_GBK" w:cs="Times New Roman"/>
          <w:b w:val="0"/>
          <w:bCs w:val="0"/>
          <w:color w:val="000000"/>
          <w:sz w:val="32"/>
          <w:szCs w:val="32"/>
          <w:lang w:val="en-US" w:eastAsia="zh-CN"/>
        </w:rPr>
        <w:t>园区获评</w:t>
      </w:r>
      <w:r>
        <w:rPr>
          <w:rFonts w:hint="default" w:ascii="Times New Roman" w:hAnsi="Times New Roman" w:eastAsia="方正仿宋_GBK" w:cs="Times New Roman"/>
          <w:b w:val="0"/>
          <w:bCs w:val="0"/>
          <w:color w:val="000000"/>
          <w:sz w:val="32"/>
          <w:szCs w:val="32"/>
          <w:lang w:val="en-US" w:eastAsia="zh-CN"/>
        </w:rPr>
        <w:t>国家产业转型示范园区、重庆市工业设计产业园（特色产业建设基地）、重</w:t>
      </w:r>
      <w:r>
        <w:rPr>
          <w:rFonts w:hint="default" w:ascii="Times New Roman" w:hAnsi="Times New Roman" w:eastAsia="方正仿宋_GBK" w:cs="Times New Roman"/>
          <w:b w:val="0"/>
          <w:bCs w:val="0"/>
          <w:color w:val="000000"/>
          <w:sz w:val="32"/>
          <w:szCs w:val="32"/>
          <w:highlight w:val="none"/>
          <w:lang w:val="en-US" w:eastAsia="zh-CN"/>
        </w:rPr>
        <w:t>庆市智能网联汽车核心零部件特色产业建设基地。</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Times New Roman" w:hAnsi="Times New Roman" w:eastAsia="方正仿宋_GBK" w:cs="Times New Roman"/>
          <w:b w:val="0"/>
          <w:bCs w:val="0"/>
          <w:color w:val="000000"/>
          <w:sz w:val="32"/>
          <w:szCs w:val="32"/>
          <w:highlight w:val="yellow"/>
          <w:lang w:val="en-US" w:eastAsia="zh-CN"/>
        </w:rPr>
      </w:pPr>
      <w:r>
        <w:rPr>
          <w:rFonts w:hint="default" w:ascii="Times New Roman" w:hAnsi="Times New Roman" w:eastAsia="方正仿宋_GBK" w:cs="Times New Roman"/>
          <w:b w:val="0"/>
          <w:bCs w:val="0"/>
          <w:color w:val="000000"/>
          <w:sz w:val="32"/>
          <w:szCs w:val="32"/>
          <w:highlight w:val="none"/>
          <w:lang w:val="en-US" w:eastAsia="zh-CN"/>
        </w:rPr>
        <w:t>园区规划</w:t>
      </w:r>
      <w:r>
        <w:rPr>
          <w:rFonts w:hint="eastAsia" w:ascii="Times New Roman" w:hAnsi="Times New Roman" w:eastAsia="方正仿宋_GBK" w:cs="Times New Roman"/>
          <w:b w:val="0"/>
          <w:bCs w:val="0"/>
          <w:color w:val="000000"/>
          <w:sz w:val="32"/>
          <w:szCs w:val="32"/>
          <w:highlight w:val="none"/>
          <w:lang w:val="en-US" w:eastAsia="zh-CN"/>
        </w:rPr>
        <w:t>面积</w:t>
      </w:r>
      <w:r>
        <w:rPr>
          <w:rFonts w:hint="default" w:ascii="Times New Roman" w:hAnsi="Times New Roman" w:eastAsia="方正仿宋_GBK" w:cs="Times New Roman"/>
          <w:b w:val="0"/>
          <w:bCs w:val="0"/>
          <w:color w:val="000000"/>
          <w:sz w:val="32"/>
          <w:szCs w:val="32"/>
          <w:highlight w:val="none"/>
          <w:lang w:val="en-US" w:eastAsia="zh-CN"/>
        </w:rPr>
        <w:t>约</w:t>
      </w:r>
      <w:r>
        <w:rPr>
          <w:rFonts w:hint="eastAsia" w:ascii="Times New Roman" w:hAnsi="Times New Roman" w:eastAsia="方正仿宋_GBK" w:cs="Times New Roman"/>
          <w:b w:val="0"/>
          <w:bCs w:val="0"/>
          <w:color w:val="000000"/>
          <w:sz w:val="32"/>
          <w:szCs w:val="32"/>
          <w:highlight w:val="none"/>
          <w:lang w:val="en-US" w:eastAsia="zh-CN"/>
        </w:rPr>
        <w:t>12</w:t>
      </w:r>
      <w:r>
        <w:rPr>
          <w:rFonts w:hint="default" w:ascii="Times New Roman" w:hAnsi="Times New Roman" w:eastAsia="方正仿宋_GBK" w:cs="Times New Roman"/>
          <w:b w:val="0"/>
          <w:bCs w:val="0"/>
          <w:color w:val="000000"/>
          <w:sz w:val="32"/>
          <w:szCs w:val="32"/>
          <w:highlight w:val="none"/>
          <w:lang w:val="en-US" w:eastAsia="zh-CN"/>
        </w:rPr>
        <w:t>平方公里</w:t>
      </w:r>
      <w:r>
        <w:rPr>
          <w:rFonts w:hint="eastAsia" w:ascii="Times New Roman" w:hAnsi="Times New Roman" w:eastAsia="方正仿宋_GBK" w:cs="Times New Roman"/>
          <w:b w:val="0"/>
          <w:bCs w:val="0"/>
          <w:color w:val="000000"/>
          <w:sz w:val="32"/>
          <w:szCs w:val="32"/>
          <w:highlight w:val="none"/>
          <w:lang w:val="en-US" w:eastAsia="zh-CN"/>
        </w:rPr>
        <w:t>，建设用地面积约10平方公里。</w:t>
      </w:r>
      <w:r>
        <w:rPr>
          <w:rFonts w:hint="default" w:ascii="Times New Roman" w:hAnsi="Times New Roman" w:eastAsia="方正仿宋_GBK" w:cs="Times New Roman"/>
          <w:b w:val="0"/>
          <w:bCs w:val="0"/>
          <w:i w:val="0"/>
          <w:caps w:val="0"/>
          <w:color w:val="000000"/>
          <w:spacing w:val="0"/>
          <w:w w:val="100"/>
          <w:kern w:val="2"/>
          <w:sz w:val="32"/>
          <w:szCs w:val="32"/>
          <w:lang w:val="en-US" w:eastAsia="zh-CN" w:bidi="ar-SA"/>
        </w:rPr>
        <w:t>凤凰立交、凤潮大道等</w:t>
      </w:r>
      <w:r>
        <w:rPr>
          <w:rFonts w:hint="eastAsia" w:ascii="Times New Roman" w:hAnsi="Times New Roman" w:eastAsia="方正仿宋_GBK" w:cs="Times New Roman"/>
          <w:b w:val="0"/>
          <w:bCs w:val="0"/>
          <w:i w:val="0"/>
          <w:caps w:val="0"/>
          <w:color w:val="000000"/>
          <w:spacing w:val="0"/>
          <w:w w:val="100"/>
          <w:kern w:val="2"/>
          <w:sz w:val="32"/>
          <w:szCs w:val="32"/>
          <w:lang w:val="en-US" w:eastAsia="zh-CN" w:bidi="ar-SA"/>
        </w:rPr>
        <w:t>“三横两纵”</w:t>
      </w:r>
      <w:r>
        <w:rPr>
          <w:rFonts w:hint="default" w:ascii="Times New Roman" w:hAnsi="Times New Roman" w:eastAsia="方正仿宋_GBK" w:cs="Times New Roman"/>
          <w:b w:val="0"/>
          <w:bCs w:val="0"/>
          <w:i w:val="0"/>
          <w:caps w:val="0"/>
          <w:color w:val="000000"/>
          <w:spacing w:val="0"/>
          <w:w w:val="100"/>
          <w:kern w:val="2"/>
          <w:sz w:val="32"/>
          <w:szCs w:val="32"/>
          <w:lang w:val="en-US" w:eastAsia="zh-CN" w:bidi="ar-SA"/>
        </w:rPr>
        <w:t>骨干路网</w:t>
      </w:r>
      <w:r>
        <w:rPr>
          <w:rFonts w:hint="eastAsia" w:ascii="Times New Roman" w:hAnsi="Times New Roman" w:eastAsia="方正仿宋_GBK" w:cs="Times New Roman"/>
          <w:b w:val="0"/>
          <w:bCs w:val="0"/>
          <w:i w:val="0"/>
          <w:caps w:val="0"/>
          <w:color w:val="000000"/>
          <w:spacing w:val="0"/>
          <w:w w:val="100"/>
          <w:kern w:val="2"/>
          <w:sz w:val="32"/>
          <w:szCs w:val="32"/>
          <w:lang w:val="en-US" w:eastAsia="zh-CN" w:bidi="ar-SA"/>
        </w:rPr>
        <w:t>连线贯通，形成西接</w:t>
      </w:r>
      <w:r>
        <w:rPr>
          <w:rFonts w:hint="default" w:ascii="Times New Roman" w:hAnsi="Times New Roman" w:eastAsia="方正仿宋_GBK" w:cs="Times New Roman"/>
          <w:b w:val="0"/>
          <w:bCs w:val="0"/>
          <w:i w:val="0"/>
          <w:caps w:val="0"/>
          <w:color w:val="000000"/>
          <w:spacing w:val="0"/>
          <w:w w:val="100"/>
          <w:kern w:val="2"/>
          <w:sz w:val="32"/>
          <w:szCs w:val="32"/>
          <w:lang w:val="en-US" w:eastAsia="zh-CN" w:bidi="ar-SA"/>
        </w:rPr>
        <w:t>绕城高速</w:t>
      </w:r>
      <w:r>
        <w:rPr>
          <w:rFonts w:hint="eastAsia" w:ascii="Times New Roman" w:hAnsi="Times New Roman" w:eastAsia="方正仿宋_GBK" w:cs="Times New Roman"/>
          <w:b w:val="0"/>
          <w:bCs w:val="0"/>
          <w:i w:val="0"/>
          <w:caps w:val="0"/>
          <w:color w:val="000000"/>
          <w:spacing w:val="0"/>
          <w:w w:val="100"/>
          <w:kern w:val="2"/>
          <w:sz w:val="32"/>
          <w:szCs w:val="32"/>
          <w:lang w:val="en-US" w:eastAsia="zh-CN" w:bidi="ar-SA"/>
        </w:rPr>
        <w:t>，东联重庆铁路口岸、成渝高铁科学城站、</w:t>
      </w:r>
      <w:r>
        <w:rPr>
          <w:rFonts w:hint="default" w:ascii="Times New Roman" w:hAnsi="Times New Roman" w:eastAsia="方正仿宋_GBK" w:cs="Times New Roman"/>
          <w:b w:val="0"/>
          <w:bCs w:val="0"/>
          <w:i w:val="0"/>
          <w:caps w:val="0"/>
          <w:color w:val="000000"/>
          <w:spacing w:val="0"/>
          <w:w w:val="100"/>
          <w:kern w:val="2"/>
          <w:sz w:val="32"/>
          <w:szCs w:val="32"/>
          <w:lang w:val="en-US" w:eastAsia="zh-CN" w:bidi="ar-SA"/>
        </w:rPr>
        <w:t>科学大道</w:t>
      </w:r>
      <w:r>
        <w:rPr>
          <w:rFonts w:hint="eastAsia" w:ascii="Times New Roman" w:hAnsi="Times New Roman" w:eastAsia="方正仿宋_GBK" w:cs="Times New Roman"/>
          <w:b w:val="0"/>
          <w:bCs w:val="0"/>
          <w:i w:val="0"/>
          <w:caps w:val="0"/>
          <w:color w:val="000000"/>
          <w:spacing w:val="0"/>
          <w:w w:val="100"/>
          <w:kern w:val="2"/>
          <w:sz w:val="32"/>
          <w:szCs w:val="32"/>
          <w:lang w:val="en-US" w:eastAsia="zh-CN" w:bidi="ar-SA"/>
        </w:rPr>
        <w:t>的</w:t>
      </w:r>
      <w:r>
        <w:rPr>
          <w:rFonts w:hint="default" w:ascii="Times New Roman" w:hAnsi="Times New Roman" w:eastAsia="方正仿宋_GBK" w:cs="Times New Roman"/>
          <w:b w:val="0"/>
          <w:bCs w:val="0"/>
          <w:i w:val="0"/>
          <w:caps w:val="0"/>
          <w:color w:val="000000"/>
          <w:spacing w:val="0"/>
          <w:w w:val="100"/>
          <w:kern w:val="2"/>
          <w:sz w:val="32"/>
          <w:szCs w:val="32"/>
          <w:lang w:val="en-US" w:eastAsia="zh-CN" w:bidi="ar-SA"/>
        </w:rPr>
        <w:t>内畅外联交通体系。水电气讯综合</w:t>
      </w:r>
      <w:r>
        <w:rPr>
          <w:rFonts w:hint="eastAsia" w:ascii="Times New Roman" w:hAnsi="Times New Roman" w:eastAsia="方正仿宋_GBK" w:cs="Times New Roman"/>
          <w:b w:val="0"/>
          <w:bCs w:val="0"/>
          <w:i w:val="0"/>
          <w:caps w:val="0"/>
          <w:color w:val="000000"/>
          <w:spacing w:val="0"/>
          <w:w w:val="100"/>
          <w:kern w:val="2"/>
          <w:sz w:val="32"/>
          <w:szCs w:val="32"/>
          <w:lang w:val="en-US" w:eastAsia="zh-CN" w:bidi="ar-SA"/>
        </w:rPr>
        <w:t>配套</w:t>
      </w:r>
      <w:r>
        <w:rPr>
          <w:rFonts w:hint="default" w:ascii="Times New Roman" w:hAnsi="Times New Roman" w:eastAsia="方正仿宋_GBK" w:cs="Times New Roman"/>
          <w:b w:val="0"/>
          <w:bCs w:val="0"/>
          <w:i w:val="0"/>
          <w:caps w:val="0"/>
          <w:color w:val="000000"/>
          <w:spacing w:val="0"/>
          <w:w w:val="100"/>
          <w:kern w:val="2"/>
          <w:sz w:val="32"/>
          <w:szCs w:val="32"/>
          <w:lang w:val="en-US" w:eastAsia="zh-CN" w:bidi="ar-SA"/>
        </w:rPr>
        <w:t>设施</w:t>
      </w:r>
      <w:r>
        <w:rPr>
          <w:rFonts w:hint="eastAsia" w:ascii="Times New Roman" w:hAnsi="Times New Roman" w:eastAsia="方正仿宋_GBK" w:cs="Times New Roman"/>
          <w:b w:val="0"/>
          <w:bCs w:val="0"/>
          <w:i w:val="0"/>
          <w:caps w:val="0"/>
          <w:color w:val="000000"/>
          <w:spacing w:val="0"/>
          <w:w w:val="100"/>
          <w:kern w:val="2"/>
          <w:sz w:val="32"/>
          <w:szCs w:val="32"/>
          <w:lang w:val="en-US" w:eastAsia="zh-CN" w:bidi="ar-SA"/>
        </w:rPr>
        <w:t>完善</w:t>
      </w:r>
      <w:r>
        <w:rPr>
          <w:rFonts w:hint="default" w:ascii="Times New Roman" w:hAnsi="Times New Roman" w:eastAsia="方正仿宋_GBK" w:cs="Times New Roman"/>
          <w:b w:val="0"/>
          <w:bCs w:val="0"/>
          <w:i w:val="0"/>
          <w:caps w:val="0"/>
          <w:color w:val="000000"/>
          <w:spacing w:val="0"/>
          <w:w w:val="100"/>
          <w:kern w:val="2"/>
          <w:sz w:val="32"/>
          <w:szCs w:val="32"/>
          <w:lang w:val="en-US" w:eastAsia="zh-CN" w:bidi="ar-SA"/>
        </w:rPr>
        <w:t>，</w:t>
      </w:r>
      <w:r>
        <w:rPr>
          <w:rFonts w:hint="eastAsia" w:ascii="Times New Roman" w:hAnsi="Times New Roman" w:eastAsia="方正仿宋_GBK" w:cs="Times New Roman"/>
          <w:b w:val="0"/>
          <w:bCs w:val="0"/>
          <w:i w:val="0"/>
          <w:caps w:val="0"/>
          <w:color w:val="000000"/>
          <w:spacing w:val="0"/>
          <w:w w:val="100"/>
          <w:kern w:val="2"/>
          <w:sz w:val="32"/>
          <w:szCs w:val="32"/>
          <w:lang w:val="en-US" w:eastAsia="zh-CN" w:bidi="ar-SA"/>
        </w:rPr>
        <w:t>配套</w:t>
      </w:r>
      <w:r>
        <w:rPr>
          <w:rFonts w:hint="default" w:ascii="Times New Roman" w:hAnsi="Times New Roman" w:eastAsia="方正仿宋_GBK" w:cs="Times New Roman"/>
          <w:b w:val="0"/>
          <w:bCs w:val="0"/>
          <w:i w:val="0"/>
          <w:caps w:val="0"/>
          <w:color w:val="000000"/>
          <w:spacing w:val="0"/>
          <w:w w:val="100"/>
          <w:kern w:val="2"/>
          <w:sz w:val="32"/>
          <w:szCs w:val="32"/>
          <w:lang w:val="en-US" w:eastAsia="zh-CN" w:bidi="ar-SA"/>
        </w:rPr>
        <w:t>30万吨</w:t>
      </w:r>
      <w:r>
        <w:rPr>
          <w:rFonts w:hint="eastAsia" w:ascii="Times New Roman" w:hAnsi="Times New Roman" w:eastAsia="方正仿宋_GBK" w:cs="Times New Roman"/>
          <w:b w:val="0"/>
          <w:bCs w:val="0"/>
          <w:i w:val="0"/>
          <w:caps w:val="0"/>
          <w:color w:val="000000"/>
          <w:spacing w:val="0"/>
          <w:w w:val="100"/>
          <w:kern w:val="2"/>
          <w:sz w:val="32"/>
          <w:szCs w:val="32"/>
          <w:lang w:val="en-US" w:eastAsia="zh-CN" w:bidi="ar-SA"/>
        </w:rPr>
        <w:t>/天</w:t>
      </w:r>
      <w:r>
        <w:rPr>
          <w:rFonts w:hint="default" w:ascii="Times New Roman" w:hAnsi="Times New Roman" w:eastAsia="方正仿宋_GBK" w:cs="Times New Roman"/>
          <w:b w:val="0"/>
          <w:bCs w:val="0"/>
          <w:i w:val="0"/>
          <w:caps w:val="0"/>
          <w:color w:val="000000"/>
          <w:spacing w:val="0"/>
          <w:w w:val="100"/>
          <w:kern w:val="2"/>
          <w:sz w:val="32"/>
          <w:szCs w:val="32"/>
          <w:lang w:val="en-US" w:eastAsia="zh-CN" w:bidi="ar-SA"/>
        </w:rPr>
        <w:t>沙田污水处理厂</w:t>
      </w:r>
      <w:r>
        <w:rPr>
          <w:rFonts w:hint="eastAsia" w:ascii="Times New Roman" w:hAnsi="Times New Roman" w:eastAsia="方正仿宋_GBK" w:cs="Times New Roman"/>
          <w:b w:val="0"/>
          <w:bCs w:val="0"/>
          <w:i w:val="0"/>
          <w:caps w:val="0"/>
          <w:color w:val="000000"/>
          <w:spacing w:val="0"/>
          <w:w w:val="100"/>
          <w:kern w:val="2"/>
          <w:sz w:val="32"/>
          <w:szCs w:val="32"/>
          <w:lang w:val="en-US" w:eastAsia="zh-CN" w:bidi="ar-SA"/>
        </w:rPr>
        <w:t>即将</w:t>
      </w:r>
      <w:r>
        <w:rPr>
          <w:rFonts w:hint="default" w:ascii="Times New Roman" w:hAnsi="Times New Roman" w:eastAsia="方正仿宋_GBK" w:cs="Times New Roman"/>
          <w:b w:val="0"/>
          <w:bCs w:val="0"/>
          <w:i w:val="0"/>
          <w:caps w:val="0"/>
          <w:color w:val="000000"/>
          <w:spacing w:val="0"/>
          <w:w w:val="100"/>
          <w:kern w:val="2"/>
          <w:sz w:val="32"/>
          <w:szCs w:val="32"/>
          <w:lang w:val="en-US" w:eastAsia="zh-CN" w:bidi="ar-SA"/>
        </w:rPr>
        <w:t>投用。</w:t>
      </w:r>
      <w:r>
        <w:rPr>
          <w:rFonts w:hint="eastAsia" w:ascii="Times New Roman" w:hAnsi="Times New Roman" w:eastAsia="方正仿宋_GBK" w:cs="Times New Roman"/>
          <w:b w:val="0"/>
          <w:bCs w:val="0"/>
          <w:color w:val="000000"/>
          <w:sz w:val="32"/>
          <w:szCs w:val="32"/>
          <w:lang w:val="en-US" w:eastAsia="zh-CN"/>
        </w:rPr>
        <w:t>园区坚持</w:t>
      </w:r>
      <w:r>
        <w:rPr>
          <w:rFonts w:hint="default" w:ascii="Times New Roman" w:hAnsi="Times New Roman" w:eastAsia="方正仿宋_GBK" w:cs="Times New Roman"/>
          <w:b w:val="0"/>
          <w:bCs w:val="0"/>
          <w:color w:val="000000"/>
          <w:sz w:val="32"/>
          <w:szCs w:val="32"/>
          <w:lang w:val="en-US" w:eastAsia="zh-CN"/>
        </w:rPr>
        <w:t>举旗招商、精准招商</w:t>
      </w:r>
      <w:r>
        <w:rPr>
          <w:rFonts w:hint="eastAsia" w:ascii="Times New Roman" w:hAnsi="Times New Roman" w:eastAsia="方正仿宋_GBK" w:cs="Times New Roman"/>
          <w:b w:val="0"/>
          <w:bCs w:val="0"/>
          <w:color w:val="000000"/>
          <w:sz w:val="32"/>
          <w:szCs w:val="32"/>
          <w:lang w:val="en-US" w:eastAsia="zh-CN"/>
        </w:rPr>
        <w:t>，围绕战略性新兴产业，</w:t>
      </w:r>
      <w:r>
        <w:rPr>
          <w:rFonts w:hint="default" w:ascii="Times New Roman" w:hAnsi="Times New Roman" w:eastAsia="方正仿宋_GBK" w:cs="Times New Roman"/>
          <w:b w:val="0"/>
          <w:bCs w:val="0"/>
          <w:color w:val="000000"/>
          <w:sz w:val="32"/>
          <w:szCs w:val="32"/>
          <w:lang w:val="en-US" w:eastAsia="zh-CN"/>
        </w:rPr>
        <w:t>实施“一园多点”科创战略，</w:t>
      </w:r>
      <w:r>
        <w:rPr>
          <w:rFonts w:hint="eastAsia" w:ascii="Times New Roman" w:hAnsi="Times New Roman" w:eastAsia="方正仿宋_GBK" w:cs="Times New Roman"/>
          <w:b w:val="0"/>
          <w:bCs w:val="0"/>
          <w:color w:val="000000"/>
          <w:sz w:val="32"/>
          <w:szCs w:val="32"/>
          <w:lang w:val="en-US" w:eastAsia="zh-CN"/>
        </w:rPr>
        <w:t>确立</w:t>
      </w:r>
      <w:r>
        <w:rPr>
          <w:rFonts w:hint="default" w:ascii="Times New Roman" w:hAnsi="Times New Roman" w:eastAsia="方正仿宋_GBK" w:cs="Times New Roman"/>
          <w:b w:val="0"/>
          <w:bCs w:val="0"/>
          <w:color w:val="000000"/>
          <w:sz w:val="32"/>
          <w:szCs w:val="32"/>
          <w:lang w:val="en-US" w:eastAsia="zh-CN"/>
        </w:rPr>
        <w:t>“1+</w:t>
      </w:r>
      <w:r>
        <w:rPr>
          <w:rFonts w:hint="eastAsia" w:ascii="Times New Roman" w:hAnsi="Times New Roman" w:eastAsia="方正仿宋_GBK" w:cs="Times New Roman"/>
          <w:b w:val="0"/>
          <w:bCs w:val="0"/>
          <w:color w:val="000000"/>
          <w:sz w:val="32"/>
          <w:szCs w:val="32"/>
          <w:lang w:val="en-US" w:eastAsia="zh-CN"/>
        </w:rPr>
        <w:t>2</w:t>
      </w:r>
      <w:r>
        <w:rPr>
          <w:rFonts w:hint="default" w:ascii="Times New Roman" w:hAnsi="Times New Roman" w:eastAsia="方正仿宋_GBK" w:cs="Times New Roman"/>
          <w:b w:val="0"/>
          <w:bCs w:val="0"/>
          <w:color w:val="000000"/>
          <w:sz w:val="32"/>
          <w:szCs w:val="32"/>
          <w:lang w:val="en-US" w:eastAsia="zh-CN"/>
        </w:rPr>
        <w:t>+N”产业发展</w:t>
      </w:r>
      <w:r>
        <w:rPr>
          <w:rFonts w:hint="eastAsia" w:ascii="Times New Roman" w:hAnsi="Times New Roman" w:eastAsia="方正仿宋_GBK" w:cs="Times New Roman"/>
          <w:b w:val="0"/>
          <w:bCs w:val="0"/>
          <w:color w:val="000000"/>
          <w:sz w:val="32"/>
          <w:szCs w:val="32"/>
          <w:lang w:val="en-US" w:eastAsia="zh-CN"/>
        </w:rPr>
        <w:t>模式</w:t>
      </w:r>
      <w:r>
        <w:rPr>
          <w:rFonts w:hint="default" w:ascii="Times New Roman" w:hAnsi="Times New Roman" w:eastAsia="方正仿宋_GBK" w:cs="Times New Roman"/>
          <w:b w:val="0"/>
          <w:bCs w:val="0"/>
          <w:color w:val="000000"/>
          <w:sz w:val="32"/>
          <w:szCs w:val="32"/>
          <w:lang w:val="en-US" w:eastAsia="zh-CN"/>
        </w:rPr>
        <w:t>，</w:t>
      </w:r>
      <w:r>
        <w:rPr>
          <w:rFonts w:hint="eastAsia" w:ascii="Times New Roman" w:hAnsi="Times New Roman" w:eastAsia="方正仿宋_GBK" w:cs="Times New Roman"/>
          <w:b w:val="0"/>
          <w:bCs w:val="0"/>
          <w:color w:val="000000"/>
          <w:sz w:val="32"/>
          <w:szCs w:val="32"/>
          <w:lang w:val="en-US" w:eastAsia="zh-CN"/>
        </w:rPr>
        <w:t>引进一批龙头企业，发展</w:t>
      </w:r>
      <w:r>
        <w:rPr>
          <w:rFonts w:hint="default" w:ascii="Times New Roman" w:hAnsi="Times New Roman" w:eastAsia="方正仿宋_GBK" w:cs="Times New Roman"/>
          <w:b w:val="0"/>
          <w:bCs w:val="0"/>
          <w:color w:val="000000"/>
          <w:sz w:val="32"/>
          <w:szCs w:val="32"/>
        </w:rPr>
        <w:t>新能源智能网联汽车</w:t>
      </w:r>
      <w:r>
        <w:rPr>
          <w:rFonts w:hint="eastAsia" w:ascii="Times New Roman" w:hAnsi="Times New Roman" w:eastAsia="方正仿宋_GBK" w:cs="Times New Roman"/>
          <w:b w:val="0"/>
          <w:bCs w:val="0"/>
          <w:color w:val="000000"/>
          <w:sz w:val="32"/>
          <w:szCs w:val="32"/>
          <w:lang w:eastAsia="zh-CN"/>
        </w:rPr>
        <w:t>和</w:t>
      </w:r>
      <w:r>
        <w:rPr>
          <w:rFonts w:hint="default" w:ascii="Times New Roman" w:hAnsi="Times New Roman" w:eastAsia="方正仿宋_GBK" w:cs="Times New Roman"/>
          <w:b w:val="0"/>
          <w:bCs w:val="0"/>
          <w:color w:val="000000"/>
          <w:sz w:val="32"/>
          <w:szCs w:val="32"/>
          <w:lang w:eastAsia="zh-CN"/>
        </w:rPr>
        <w:t>医疗器械</w:t>
      </w:r>
      <w:r>
        <w:rPr>
          <w:rFonts w:hint="eastAsia" w:ascii="Times New Roman" w:hAnsi="Times New Roman" w:eastAsia="方正仿宋_GBK" w:cs="Times New Roman"/>
          <w:b w:val="0"/>
          <w:bCs w:val="0"/>
          <w:color w:val="000000"/>
          <w:sz w:val="32"/>
          <w:szCs w:val="32"/>
          <w:lang w:eastAsia="zh-CN"/>
        </w:rPr>
        <w:t>两</w:t>
      </w:r>
      <w:r>
        <w:rPr>
          <w:rFonts w:hint="eastAsia" w:ascii="Times New Roman" w:hAnsi="Times New Roman" w:eastAsia="方正仿宋_GBK" w:cs="Times New Roman"/>
          <w:b w:val="0"/>
          <w:bCs w:val="0"/>
          <w:color w:val="000000"/>
          <w:sz w:val="32"/>
          <w:szCs w:val="32"/>
          <w:lang w:val="en-US" w:eastAsia="zh-CN"/>
        </w:rPr>
        <w:t>大主导产业，集聚多家高新技术企业，切实打好“科技创新牌”。入驻小康整车、金康动力、宁波拓普、中电科吉芯科技、万普隆能源、深圳浪尖等项目2</w:t>
      </w:r>
      <w:r>
        <w:rPr>
          <w:rFonts w:hint="eastAsia" w:ascii="Times New Roman" w:hAnsi="Times New Roman" w:eastAsia="方正仿宋_GBK" w:cs="Times New Roman"/>
          <w:b w:val="0"/>
          <w:bCs w:val="0"/>
          <w:color w:val="000000"/>
          <w:kern w:val="2"/>
          <w:sz w:val="32"/>
          <w:szCs w:val="32"/>
          <w:highlight w:val="none"/>
          <w:lang w:val="en-US" w:eastAsia="zh-CN" w:bidi="ar-SA"/>
        </w:rPr>
        <w:t>00个，协议投资金额约1600亿元。</w:t>
      </w:r>
      <w:r>
        <w:rPr>
          <w:rFonts w:hint="eastAsia" w:ascii="Times New Roman" w:hAnsi="Times New Roman" w:eastAsia="方正仿宋_GBK" w:cs="Times New Roman"/>
          <w:b w:val="0"/>
          <w:bCs w:val="0"/>
          <w:color w:val="000000"/>
          <w:sz w:val="32"/>
          <w:szCs w:val="32"/>
          <w:highlight w:val="none"/>
          <w:lang w:val="en-US" w:eastAsia="zh-CN"/>
        </w:rPr>
        <w:t>园区注册企业756家，培育规上企业47家、科技型企业160家、高新技术企业19家、高端新型研发机构8家。</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重庆共享工业投资有限公司（以下简称工投公司）成立于2007年12月，2019年按照全区区属国有重点企业投融资体制改革总体要求完成转型改革。作为沙坪坝区“青凤高科产业园（以下简称园区）建设运营商”，工投公司内设部门7个，分别为综合管理部、财务融资部、规划发展部、招商引资部、企业服务部、土地整治部（资产运营部）、合同法务部（纪检监察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294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2">
    <w:name w:val="heading 3"/>
    <w:basedOn w:val="1"/>
    <w:next w:val="1"/>
    <w:qFormat/>
    <w:uiPriority w:val="0"/>
    <w:pPr>
      <w:keepNext/>
      <w:keepLines/>
      <w:spacing w:before="260" w:after="260" w:line="413" w:lineRule="auto"/>
      <w:outlineLvl w:val="2"/>
    </w:pPr>
    <w:rPr>
      <w:b/>
      <w:bCs/>
      <w:sz w:val="32"/>
      <w:szCs w:val="32"/>
    </w:rPr>
  </w:style>
  <w:style w:type="character" w:default="1" w:styleId="3">
    <w:name w:val="Default Paragraph Font"/>
    <w:uiPriority w:val="1"/>
  </w:style>
  <w:style w:type="table" w:default="1" w:styleId="4">
    <w:name w:val="Normal Table"/>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1301</Words>
  <Characters>1350</Characters>
  <Paragraphs>11</Paragraphs>
  <TotalTime>0</TotalTime>
  <ScaleCrop>false</ScaleCrop>
  <LinksUpToDate>false</LinksUpToDate>
  <CharactersWithSpaces>1350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谭林</cp:lastModifiedBy>
  <dcterms:modified xsi:type="dcterms:W3CDTF">2022-10-18T04:42:57Z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5585e9d89f3f4f69a2d531d24d5a19a5</vt:lpwstr>
  </property>
</Properties>
</file>