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ascii="宋体" w:hAnsi="宋体" w:cs="MingLiU"/>
          <w:b/>
          <w:kern w:val="0"/>
          <w:sz w:val="20"/>
          <w:szCs w:val="20"/>
          <w:highlight w:val="none"/>
          <w:u w:val="single"/>
        </w:rPr>
      </w:pPr>
      <w:bookmarkStart w:id="0" w:name="_Toc224103315"/>
      <w:r>
        <w:rPr>
          <w:rFonts w:hint="eastAsia" w:ascii="宋体" w:hAnsi="宋体"/>
          <w:b/>
          <w:kern w:val="0"/>
          <w:sz w:val="28"/>
          <w:szCs w:val="28"/>
          <w:highlight w:val="none"/>
        </w:rPr>
        <w:t>项目名称：</w:t>
      </w:r>
      <w:r>
        <w:rPr>
          <w:rFonts w:hint="eastAsia" w:ascii="宋体" w:hAnsi="宋体"/>
          <w:b/>
          <w:kern w:val="0"/>
          <w:sz w:val="28"/>
          <w:szCs w:val="28"/>
          <w:highlight w:val="none"/>
          <w:u w:val="single"/>
        </w:rPr>
        <w:t>重庆国际物流枢纽园区建设有限责任公司2024年度超短期融资券承销商选聘</w:t>
      </w:r>
      <w:r>
        <w:rPr>
          <w:rFonts w:hint="eastAsia" w:ascii="宋体" w:hAnsi="宋体"/>
          <w:b/>
          <w:snapToGrid w:val="0"/>
          <w:kern w:val="0"/>
          <w:sz w:val="28"/>
          <w:szCs w:val="28"/>
          <w:highlight w:val="none"/>
          <w:u w:val="single"/>
        </w:rPr>
        <w:t xml:space="preserve"> </w:t>
      </w:r>
    </w:p>
    <w:p>
      <w:pPr>
        <w:autoSpaceDE w:val="0"/>
        <w:autoSpaceDN w:val="0"/>
        <w:adjustRightInd w:val="0"/>
        <w:snapToGrid w:val="0"/>
        <w:spacing w:line="360" w:lineRule="auto"/>
        <w:jc w:val="left"/>
        <w:rPr>
          <w:rFonts w:ascii="宋体" w:hAnsi="宋体" w:cs="MingLiU"/>
          <w:b/>
          <w:kern w:val="0"/>
          <w:sz w:val="20"/>
          <w:szCs w:val="20"/>
          <w:highlight w:val="none"/>
        </w:rPr>
      </w:pPr>
    </w:p>
    <w:p>
      <w:pPr>
        <w:autoSpaceDE w:val="0"/>
        <w:autoSpaceDN w:val="0"/>
        <w:adjustRightInd w:val="0"/>
        <w:snapToGrid w:val="0"/>
        <w:spacing w:line="360" w:lineRule="auto"/>
        <w:jc w:val="left"/>
        <w:rPr>
          <w:rFonts w:ascii="宋体" w:hAnsi="宋体" w:cs="MingLiU"/>
          <w:b/>
          <w:kern w:val="0"/>
          <w:sz w:val="20"/>
          <w:szCs w:val="20"/>
          <w:highlight w:val="none"/>
        </w:rPr>
      </w:pPr>
    </w:p>
    <w:p>
      <w:pPr>
        <w:autoSpaceDE w:val="0"/>
        <w:autoSpaceDN w:val="0"/>
        <w:adjustRightInd w:val="0"/>
        <w:snapToGrid w:val="0"/>
        <w:spacing w:line="360" w:lineRule="auto"/>
        <w:jc w:val="left"/>
        <w:rPr>
          <w:rFonts w:ascii="宋体" w:hAnsi="宋体" w:cs="MingLiU"/>
          <w:b/>
          <w:kern w:val="0"/>
          <w:sz w:val="20"/>
          <w:szCs w:val="20"/>
          <w:highlight w:val="none"/>
        </w:rPr>
      </w:pPr>
    </w:p>
    <w:p>
      <w:pPr>
        <w:autoSpaceDE w:val="0"/>
        <w:autoSpaceDN w:val="0"/>
        <w:adjustRightInd w:val="0"/>
        <w:snapToGrid w:val="0"/>
        <w:spacing w:line="360" w:lineRule="auto"/>
        <w:jc w:val="left"/>
        <w:rPr>
          <w:rFonts w:ascii="宋体" w:hAnsi="宋体" w:cs="MingLiU"/>
          <w:b/>
          <w:kern w:val="0"/>
          <w:sz w:val="20"/>
          <w:szCs w:val="20"/>
          <w:highlight w:val="none"/>
        </w:rPr>
      </w:pPr>
    </w:p>
    <w:p>
      <w:pPr>
        <w:autoSpaceDE w:val="0"/>
        <w:autoSpaceDN w:val="0"/>
        <w:adjustRightInd w:val="0"/>
        <w:snapToGrid w:val="0"/>
        <w:spacing w:line="360" w:lineRule="auto"/>
        <w:jc w:val="left"/>
        <w:rPr>
          <w:rFonts w:ascii="宋体" w:hAnsi="宋体" w:cs="MingLiU"/>
          <w:b/>
          <w:kern w:val="0"/>
          <w:sz w:val="20"/>
          <w:szCs w:val="20"/>
          <w:highlight w:val="none"/>
        </w:rPr>
      </w:pPr>
    </w:p>
    <w:p>
      <w:pPr>
        <w:autoSpaceDE w:val="0"/>
        <w:autoSpaceDN w:val="0"/>
        <w:adjustRightInd w:val="0"/>
        <w:snapToGrid w:val="0"/>
        <w:spacing w:line="360" w:lineRule="auto"/>
        <w:jc w:val="left"/>
        <w:rPr>
          <w:rFonts w:ascii="宋体" w:hAnsi="宋体" w:cs="MingLiU"/>
          <w:b/>
          <w:kern w:val="0"/>
          <w:sz w:val="20"/>
          <w:szCs w:val="20"/>
          <w:highlight w:val="none"/>
        </w:rPr>
      </w:pPr>
    </w:p>
    <w:p>
      <w:pPr>
        <w:autoSpaceDE w:val="0"/>
        <w:autoSpaceDN w:val="0"/>
        <w:adjustRightInd w:val="0"/>
        <w:snapToGrid w:val="0"/>
        <w:spacing w:line="360" w:lineRule="auto"/>
        <w:jc w:val="center"/>
        <w:rPr>
          <w:rFonts w:ascii="宋体" w:hAnsi="宋体" w:cs="MingLiU"/>
          <w:b/>
          <w:kern w:val="0"/>
          <w:sz w:val="84"/>
          <w:szCs w:val="44"/>
          <w:highlight w:val="none"/>
        </w:rPr>
      </w:pPr>
      <w:r>
        <w:rPr>
          <w:rFonts w:hint="eastAsia" w:ascii="宋体" w:hAnsi="宋体" w:cs="MingLiU"/>
          <w:b/>
          <w:kern w:val="0"/>
          <w:sz w:val="84"/>
          <w:szCs w:val="44"/>
          <w:highlight w:val="none"/>
        </w:rPr>
        <w:t>比  选　文　件</w:t>
      </w:r>
    </w:p>
    <w:p>
      <w:pPr>
        <w:autoSpaceDE w:val="0"/>
        <w:autoSpaceDN w:val="0"/>
        <w:adjustRightInd w:val="0"/>
        <w:snapToGrid w:val="0"/>
        <w:spacing w:line="360" w:lineRule="auto"/>
        <w:jc w:val="left"/>
        <w:rPr>
          <w:rFonts w:ascii="宋体" w:hAnsi="宋体" w:cs="MingLiU"/>
          <w:kern w:val="0"/>
          <w:sz w:val="10"/>
          <w:szCs w:val="10"/>
          <w:highlight w:val="none"/>
        </w:rPr>
      </w:pPr>
    </w:p>
    <w:p>
      <w:pPr>
        <w:autoSpaceDE w:val="0"/>
        <w:autoSpaceDN w:val="0"/>
        <w:adjustRightInd w:val="0"/>
        <w:snapToGrid w:val="0"/>
        <w:spacing w:line="360" w:lineRule="auto"/>
        <w:jc w:val="center"/>
        <w:rPr>
          <w:rFonts w:ascii="宋体" w:hAnsi="宋体" w:cs="MingLiU"/>
          <w:b/>
          <w:spacing w:val="8"/>
          <w:kern w:val="0"/>
          <w:sz w:val="28"/>
          <w:szCs w:val="28"/>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tabs>
          <w:tab w:val="left" w:pos="6252"/>
        </w:tabs>
        <w:autoSpaceDE w:val="0"/>
        <w:autoSpaceDN w:val="0"/>
        <w:adjustRightInd w:val="0"/>
        <w:snapToGrid w:val="0"/>
        <w:spacing w:line="360" w:lineRule="auto"/>
        <w:ind w:left="-540" w:leftChars="-257" w:right="-535" w:rightChars="-255"/>
        <w:jc w:val="left"/>
        <w:rPr>
          <w:rFonts w:ascii="宋体" w:hAnsi="宋体" w:cs="MingLiU"/>
          <w:b/>
          <w:w w:val="99"/>
          <w:kern w:val="0"/>
          <w:sz w:val="28"/>
          <w:szCs w:val="28"/>
          <w:highlight w:val="none"/>
        </w:rPr>
      </w:pPr>
    </w:p>
    <w:p>
      <w:pPr>
        <w:autoSpaceDE w:val="0"/>
        <w:autoSpaceDN w:val="0"/>
        <w:adjustRightInd w:val="0"/>
        <w:snapToGrid w:val="0"/>
        <w:spacing w:line="360" w:lineRule="auto"/>
        <w:jc w:val="left"/>
        <w:rPr>
          <w:rFonts w:ascii="宋体" w:hAnsi="宋体" w:cs="MingLiU"/>
          <w:b/>
          <w:kern w:val="0"/>
          <w:sz w:val="28"/>
          <w:szCs w:val="28"/>
          <w:highlight w:val="none"/>
        </w:rPr>
      </w:pPr>
    </w:p>
    <w:p>
      <w:pPr>
        <w:spacing w:line="360" w:lineRule="auto"/>
        <w:ind w:firstLine="582" w:firstLineChars="196"/>
        <w:rPr>
          <w:rFonts w:ascii="宋体" w:hAnsi="宋体" w:cs="MingLiU"/>
          <w:b/>
          <w:spacing w:val="8"/>
          <w:kern w:val="0"/>
          <w:sz w:val="28"/>
          <w:szCs w:val="28"/>
          <w:highlight w:val="none"/>
        </w:rPr>
      </w:pPr>
    </w:p>
    <w:p>
      <w:pPr>
        <w:tabs>
          <w:tab w:val="left" w:pos="3200"/>
          <w:tab w:val="left" w:pos="4320"/>
          <w:tab w:val="left" w:pos="5420"/>
        </w:tabs>
        <w:autoSpaceDE w:val="0"/>
        <w:autoSpaceDN w:val="0"/>
        <w:adjustRightInd w:val="0"/>
        <w:snapToGrid w:val="0"/>
        <w:spacing w:line="360" w:lineRule="auto"/>
        <w:jc w:val="center"/>
        <w:rPr>
          <w:rFonts w:ascii="宋体" w:hAnsi="宋体" w:cs="MingLiU"/>
          <w:b/>
          <w:kern w:val="0"/>
          <w:sz w:val="52"/>
          <w:szCs w:val="52"/>
          <w:highlight w:val="none"/>
        </w:rPr>
      </w:pPr>
    </w:p>
    <w:p>
      <w:pPr>
        <w:tabs>
          <w:tab w:val="left" w:pos="3200"/>
          <w:tab w:val="left" w:pos="4320"/>
          <w:tab w:val="left" w:pos="5420"/>
        </w:tabs>
        <w:autoSpaceDE w:val="0"/>
        <w:autoSpaceDN w:val="0"/>
        <w:adjustRightInd w:val="0"/>
        <w:snapToGrid w:val="0"/>
        <w:spacing w:line="360" w:lineRule="auto"/>
        <w:jc w:val="center"/>
        <w:rPr>
          <w:rFonts w:ascii="宋体" w:hAnsi="宋体" w:cs="MingLiU"/>
          <w:b/>
          <w:kern w:val="0"/>
          <w:sz w:val="52"/>
          <w:szCs w:val="52"/>
          <w:highlight w:val="none"/>
        </w:rPr>
      </w:pPr>
    </w:p>
    <w:p>
      <w:pPr>
        <w:tabs>
          <w:tab w:val="left" w:pos="6219"/>
        </w:tabs>
        <w:autoSpaceDE w:val="0"/>
        <w:autoSpaceDN w:val="0"/>
        <w:adjustRightInd w:val="0"/>
        <w:snapToGrid w:val="0"/>
        <w:spacing w:line="360" w:lineRule="auto"/>
        <w:jc w:val="center"/>
        <w:rPr>
          <w:rFonts w:ascii="宋体" w:hAnsi="宋体"/>
          <w:b/>
          <w:w w:val="99"/>
          <w:kern w:val="0"/>
          <w:sz w:val="30"/>
          <w:szCs w:val="30"/>
          <w:highlight w:val="none"/>
        </w:rPr>
      </w:pPr>
      <w:r>
        <w:rPr>
          <w:rFonts w:ascii="宋体" w:hAnsi="宋体"/>
          <w:b/>
          <w:w w:val="99"/>
          <w:kern w:val="0"/>
          <w:sz w:val="30"/>
          <w:szCs w:val="30"/>
          <w:highlight w:val="none"/>
        </w:rPr>
        <w:t>招　　标　 人：</w:t>
      </w:r>
      <w:r>
        <w:rPr>
          <w:rFonts w:hint="eastAsia" w:ascii="宋体" w:hAnsi="宋体"/>
          <w:b/>
          <w:w w:val="99"/>
          <w:kern w:val="0"/>
          <w:sz w:val="30"/>
          <w:szCs w:val="30"/>
          <w:highlight w:val="none"/>
          <w:u w:val="single"/>
        </w:rPr>
        <w:t>重庆国际物流枢纽园区建设有限责任公司</w:t>
      </w:r>
    </w:p>
    <w:p>
      <w:pPr>
        <w:autoSpaceDE w:val="0"/>
        <w:autoSpaceDN w:val="0"/>
        <w:adjustRightInd w:val="0"/>
        <w:snapToGrid w:val="0"/>
        <w:spacing w:line="360" w:lineRule="auto"/>
        <w:jc w:val="center"/>
        <w:rPr>
          <w:rFonts w:ascii="宋体" w:hAnsi="宋体"/>
          <w:b/>
          <w:kern w:val="0"/>
          <w:sz w:val="32"/>
          <w:szCs w:val="32"/>
          <w:highlight w:val="none"/>
        </w:rPr>
      </w:pPr>
    </w:p>
    <w:p>
      <w:pPr>
        <w:autoSpaceDE w:val="0"/>
        <w:autoSpaceDN w:val="0"/>
        <w:adjustRightInd w:val="0"/>
        <w:snapToGrid w:val="0"/>
        <w:spacing w:line="360" w:lineRule="auto"/>
        <w:rPr>
          <w:rFonts w:ascii="宋体" w:hAnsi="宋体"/>
          <w:b/>
          <w:kern w:val="0"/>
          <w:sz w:val="32"/>
          <w:szCs w:val="32"/>
          <w:highlight w:val="none"/>
        </w:rPr>
      </w:pPr>
    </w:p>
    <w:p>
      <w:pPr>
        <w:ind w:firstLine="562"/>
        <w:jc w:val="center"/>
        <w:rPr>
          <w:rFonts w:ascii="宋体" w:hAnsi="宋体"/>
          <w:w w:val="99"/>
          <w:kern w:val="0"/>
          <w:sz w:val="32"/>
          <w:szCs w:val="32"/>
          <w:highlight w:val="none"/>
        </w:rPr>
        <w:sectPr>
          <w:headerReference r:id="rId3" w:type="default"/>
          <w:pgSz w:w="11907" w:h="16840"/>
          <w:pgMar w:top="1304" w:right="1134" w:bottom="1304" w:left="1304" w:header="851" w:footer="992" w:gutter="0"/>
          <w:pgNumType w:fmt="numberInDash" w:start="1"/>
          <w:cols w:space="720" w:num="1"/>
          <w:docGrid w:linePitch="312" w:charSpace="0"/>
        </w:sectPr>
      </w:pPr>
      <w:r>
        <w:rPr>
          <w:rFonts w:ascii="宋体" w:hAnsi="宋体"/>
          <w:b/>
          <w:sz w:val="32"/>
          <w:szCs w:val="32"/>
          <w:highlight w:val="none"/>
        </w:rPr>
        <w:t>二〇二</w:t>
      </w:r>
      <w:r>
        <w:rPr>
          <w:rFonts w:hint="eastAsia" w:ascii="宋体" w:hAnsi="宋体"/>
          <w:b/>
          <w:sz w:val="32"/>
          <w:szCs w:val="32"/>
          <w:highlight w:val="none"/>
        </w:rPr>
        <w:t>四</w:t>
      </w:r>
      <w:r>
        <w:rPr>
          <w:rFonts w:ascii="宋体" w:hAnsi="宋体"/>
          <w:b/>
          <w:sz w:val="32"/>
          <w:szCs w:val="32"/>
          <w:highlight w:val="none"/>
        </w:rPr>
        <w:t>年</w:t>
      </w:r>
      <w:r>
        <w:rPr>
          <w:rFonts w:hint="eastAsia" w:ascii="宋体" w:hAnsi="宋体"/>
          <w:b/>
          <w:sz w:val="32"/>
          <w:szCs w:val="32"/>
          <w:highlight w:val="none"/>
          <w:lang w:val="en-US" w:eastAsia="zh-CN"/>
        </w:rPr>
        <w:t>三</w:t>
      </w:r>
      <w:r>
        <w:rPr>
          <w:rFonts w:ascii="宋体" w:hAnsi="宋体"/>
          <w:b/>
          <w:sz w:val="32"/>
          <w:szCs w:val="32"/>
          <w:highlight w:val="none"/>
        </w:rPr>
        <w:t>月</w:t>
      </w:r>
    </w:p>
    <w:p>
      <w:pPr>
        <w:pStyle w:val="3"/>
        <w:jc w:val="center"/>
        <w:rPr>
          <w:rFonts w:ascii="宋体" w:hAnsi="宋体" w:eastAsia="宋体"/>
          <w:sz w:val="48"/>
          <w:szCs w:val="48"/>
          <w:highlight w:val="none"/>
        </w:rPr>
      </w:pPr>
      <w:bookmarkStart w:id="1" w:name="_Toc200359426"/>
      <w:bookmarkStart w:id="2" w:name="_Toc200359237"/>
      <w:bookmarkStart w:id="3" w:name="_Toc224103298"/>
      <w:bookmarkStart w:id="4" w:name="_Toc460241888"/>
      <w:r>
        <w:rPr>
          <w:rFonts w:hint="eastAsia" w:ascii="宋体" w:hAnsi="宋体" w:eastAsia="宋体"/>
          <w:sz w:val="48"/>
          <w:szCs w:val="48"/>
          <w:highlight w:val="none"/>
        </w:rPr>
        <w:t xml:space="preserve">第一章  </w:t>
      </w:r>
      <w:bookmarkEnd w:id="1"/>
      <w:bookmarkEnd w:id="2"/>
      <w:bookmarkEnd w:id="3"/>
      <w:r>
        <w:rPr>
          <w:rFonts w:hint="eastAsia" w:ascii="宋体" w:hAnsi="宋体" w:eastAsia="宋体"/>
          <w:sz w:val="48"/>
          <w:szCs w:val="48"/>
          <w:highlight w:val="none"/>
        </w:rPr>
        <w:t>比选公告</w:t>
      </w:r>
      <w:bookmarkEnd w:id="4"/>
    </w:p>
    <w:p>
      <w:pPr>
        <w:autoSpaceDE w:val="0"/>
        <w:autoSpaceDN w:val="0"/>
        <w:adjustRightInd w:val="0"/>
        <w:snapToGrid w:val="0"/>
        <w:spacing w:line="320" w:lineRule="exact"/>
        <w:jc w:val="center"/>
        <w:rPr>
          <w:rFonts w:ascii="宋体" w:hAnsi="宋体"/>
          <w:b/>
          <w:snapToGrid w:val="0"/>
          <w:kern w:val="0"/>
          <w:sz w:val="28"/>
          <w:szCs w:val="28"/>
          <w:highlight w:val="none"/>
        </w:rPr>
      </w:pPr>
      <w:r>
        <w:rPr>
          <w:rFonts w:hint="eastAsia" w:ascii="宋体" w:hAnsi="宋体"/>
          <w:b/>
          <w:snapToGrid w:val="0"/>
          <w:kern w:val="0"/>
          <w:sz w:val="28"/>
          <w:szCs w:val="28"/>
          <w:highlight w:val="none"/>
        </w:rPr>
        <w:t xml:space="preserve">  </w:t>
      </w:r>
      <w:r>
        <w:rPr>
          <w:rFonts w:hint="eastAsia" w:ascii="宋体" w:hAnsi="宋体"/>
          <w:b/>
          <w:kern w:val="0"/>
          <w:sz w:val="28"/>
          <w:szCs w:val="28"/>
          <w:highlight w:val="none"/>
          <w:u w:val="single"/>
        </w:rPr>
        <w:t>重庆国际物流枢纽园区建设有限责任公司2024年度超短期融资券承销商选聘</w:t>
      </w:r>
      <w:r>
        <w:rPr>
          <w:rFonts w:hint="eastAsia" w:ascii="宋体" w:hAnsi="宋体"/>
          <w:b/>
          <w:snapToGrid w:val="0"/>
          <w:kern w:val="0"/>
          <w:sz w:val="28"/>
          <w:szCs w:val="28"/>
          <w:highlight w:val="none"/>
        </w:rPr>
        <w:t>项目比选公告</w:t>
      </w:r>
    </w:p>
    <w:p>
      <w:pPr>
        <w:pStyle w:val="4"/>
        <w:spacing w:before="0" w:line="320" w:lineRule="exact"/>
        <w:ind w:firstLine="422" w:firstLineChars="200"/>
        <w:jc w:val="both"/>
        <w:rPr>
          <w:rFonts w:ascii="宋体" w:hAnsi="宋体" w:eastAsia="宋体"/>
          <w:snapToGrid w:val="0"/>
          <w:sz w:val="21"/>
          <w:szCs w:val="21"/>
          <w:highlight w:val="none"/>
        </w:rPr>
      </w:pPr>
      <w:bookmarkStart w:id="5" w:name="_Toc212871819"/>
    </w:p>
    <w:p>
      <w:pPr>
        <w:pStyle w:val="4"/>
        <w:spacing w:before="0" w:line="440" w:lineRule="exact"/>
        <w:ind w:firstLine="422" w:firstLineChars="200"/>
        <w:jc w:val="both"/>
        <w:rPr>
          <w:rFonts w:ascii="宋体" w:hAnsi="宋体" w:eastAsia="宋体" w:cs="宋体"/>
          <w:b w:val="0"/>
          <w:bCs/>
          <w:sz w:val="21"/>
          <w:szCs w:val="21"/>
          <w:highlight w:val="none"/>
        </w:rPr>
      </w:pPr>
      <w:bookmarkStart w:id="6" w:name="_Toc399713339"/>
      <w:bookmarkStart w:id="7" w:name="_Toc460241889"/>
      <w:r>
        <w:rPr>
          <w:rFonts w:hint="eastAsia" w:ascii="宋体" w:hAnsi="宋体" w:eastAsia="宋体"/>
          <w:snapToGrid w:val="0"/>
          <w:sz w:val="21"/>
          <w:szCs w:val="21"/>
          <w:highlight w:val="none"/>
        </w:rPr>
        <w:t>1.招标条件</w:t>
      </w:r>
      <w:bookmarkEnd w:id="5"/>
      <w:bookmarkEnd w:id="6"/>
      <w:bookmarkEnd w:id="7"/>
      <w:r>
        <w:rPr>
          <w:rFonts w:hint="eastAsia" w:ascii="宋体" w:hAnsi="宋体" w:eastAsia="宋体" w:cs="宋体"/>
          <w:b w:val="0"/>
          <w:bCs/>
          <w:sz w:val="21"/>
          <w:szCs w:val="21"/>
          <w:highlight w:val="none"/>
        </w:rPr>
        <w:t xml:space="preserve"> </w:t>
      </w:r>
    </w:p>
    <w:p>
      <w:pPr>
        <w:widowControl/>
        <w:snapToGrid w:val="0"/>
        <w:spacing w:line="440" w:lineRule="exact"/>
        <w:ind w:firstLine="480"/>
        <w:jc w:val="left"/>
        <w:rPr>
          <w:rFonts w:ascii="宋体" w:hAnsi="宋体" w:cs="宋体"/>
          <w:kern w:val="0"/>
          <w:szCs w:val="21"/>
          <w:highlight w:val="none"/>
        </w:rPr>
      </w:pPr>
      <w:bookmarkStart w:id="8" w:name="_Toc399713340"/>
      <w:bookmarkStart w:id="9" w:name="_Toc460241890"/>
      <w:bookmarkStart w:id="10" w:name="_Toc214434226"/>
      <w:r>
        <w:rPr>
          <w:rFonts w:hint="eastAsia" w:ascii="宋体" w:hAnsi="宋体" w:cs="宋体"/>
          <w:kern w:val="0"/>
          <w:szCs w:val="21"/>
          <w:highlight w:val="none"/>
        </w:rPr>
        <w:t>本比选项目</w:t>
      </w:r>
      <w:r>
        <w:rPr>
          <w:rFonts w:hint="eastAsia" w:ascii="宋体" w:hAnsi="宋体" w:cs="宋体"/>
          <w:kern w:val="0"/>
          <w:szCs w:val="21"/>
          <w:highlight w:val="none"/>
          <w:u w:val="single"/>
        </w:rPr>
        <w:t>重庆国际物流枢纽园区建设有限责任公司2024年度超短期融资券承销商选聘项目</w:t>
      </w:r>
      <w:r>
        <w:rPr>
          <w:rFonts w:hint="eastAsia" w:ascii="宋体" w:hAnsi="宋体" w:cs="宋体"/>
          <w:kern w:val="0"/>
          <w:szCs w:val="21"/>
          <w:highlight w:val="none"/>
        </w:rPr>
        <w:t>，比选人为</w:t>
      </w:r>
      <w:r>
        <w:rPr>
          <w:rFonts w:hint="eastAsia" w:ascii="宋体" w:hAnsi="宋体" w:cs="宋体"/>
          <w:kern w:val="0"/>
          <w:szCs w:val="21"/>
          <w:highlight w:val="none"/>
          <w:u w:val="single"/>
        </w:rPr>
        <w:t>重庆国际物流枢纽园区建设有限责任公司</w:t>
      </w:r>
      <w:r>
        <w:rPr>
          <w:rFonts w:hint="eastAsia" w:ascii="宋体" w:hAnsi="宋体" w:cs="宋体"/>
          <w:kern w:val="0"/>
          <w:szCs w:val="21"/>
          <w:highlight w:val="none"/>
        </w:rPr>
        <w:t>，项目已具备比选条件，现诚邀符合条件的机构按比选公告及比选文件的要求参加本次比选。</w:t>
      </w:r>
    </w:p>
    <w:p>
      <w:pPr>
        <w:pStyle w:val="4"/>
        <w:spacing w:before="0" w:line="440" w:lineRule="exact"/>
        <w:ind w:firstLine="422" w:firstLineChars="200"/>
        <w:jc w:val="both"/>
        <w:rPr>
          <w:rFonts w:ascii="宋体" w:hAnsi="宋体" w:eastAsia="宋体"/>
          <w:snapToGrid w:val="0"/>
          <w:sz w:val="21"/>
          <w:szCs w:val="21"/>
          <w:highlight w:val="none"/>
        </w:rPr>
      </w:pPr>
      <w:r>
        <w:rPr>
          <w:rFonts w:hint="eastAsia" w:ascii="宋体" w:hAnsi="宋体" w:eastAsia="宋体"/>
          <w:snapToGrid w:val="0"/>
          <w:sz w:val="21"/>
          <w:szCs w:val="21"/>
          <w:highlight w:val="none"/>
        </w:rPr>
        <w:t>2.项目概况与招标范围</w:t>
      </w:r>
      <w:bookmarkEnd w:id="8"/>
      <w:bookmarkEnd w:id="9"/>
      <w:bookmarkEnd w:id="10"/>
      <w:r>
        <w:rPr>
          <w:rFonts w:hint="eastAsia" w:ascii="宋体" w:hAnsi="宋体" w:eastAsia="宋体"/>
          <w:snapToGrid w:val="0"/>
          <w:sz w:val="21"/>
          <w:szCs w:val="21"/>
          <w:highlight w:val="none"/>
        </w:rPr>
        <w:t xml:space="preserve"> </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2.1 项目概况：</w:t>
      </w:r>
    </w:p>
    <w:p>
      <w:pPr>
        <w:spacing w:line="440" w:lineRule="exact"/>
        <w:ind w:firstLine="420" w:firstLineChars="200"/>
        <w:rPr>
          <w:rFonts w:ascii="宋体" w:hAnsi="宋体" w:cs="宋体"/>
          <w:kern w:val="0"/>
          <w:szCs w:val="21"/>
          <w:highlight w:val="none"/>
          <w:u w:val="single"/>
        </w:rPr>
      </w:pPr>
      <w:r>
        <w:rPr>
          <w:rFonts w:hint="eastAsia" w:ascii="宋体" w:hAnsi="宋体" w:cs="宋体"/>
          <w:kern w:val="0"/>
          <w:szCs w:val="21"/>
          <w:highlight w:val="none"/>
        </w:rPr>
        <w:t>2.1.1项目名称：重庆国际物流枢纽园区建设有限责任公司2024年度超短期融资券承销商选聘</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2.1.2 发行主体：重庆国际物流枢纽园区建设有限责任公司</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2.1.3 债券品种：超短期融资券</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2.1.4 申报规模：不超过人民币23.8亿元，首期发行额度不超过11.9亿元（一次注册、分期发行，实际发行规模根据公司资金安排需要确定）</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2.1.5 期限结构：每期拟发行270天（具体发行期限根据发行时的实际需要确定）。</w:t>
      </w:r>
    </w:p>
    <w:p>
      <w:pPr>
        <w:spacing w:line="440" w:lineRule="exact"/>
        <w:ind w:firstLine="420" w:firstLineChars="200"/>
        <w:rPr>
          <w:highlight w:val="none"/>
        </w:rPr>
      </w:pPr>
      <w:r>
        <w:rPr>
          <w:rFonts w:hint="eastAsia" w:ascii="宋体" w:hAnsi="宋体" w:cs="宋体"/>
          <w:kern w:val="0"/>
          <w:szCs w:val="21"/>
          <w:highlight w:val="none"/>
        </w:rPr>
        <w:t>2.1.</w:t>
      </w:r>
      <w:r>
        <w:rPr>
          <w:rFonts w:ascii="宋体" w:hAnsi="宋体" w:cs="宋体"/>
          <w:kern w:val="0"/>
          <w:szCs w:val="21"/>
          <w:highlight w:val="none"/>
        </w:rPr>
        <w:t>7</w:t>
      </w:r>
      <w:r>
        <w:rPr>
          <w:rFonts w:hint="eastAsia" w:ascii="宋体" w:hAnsi="宋体" w:cs="宋体"/>
          <w:kern w:val="0"/>
          <w:szCs w:val="21"/>
          <w:highlight w:val="none"/>
        </w:rPr>
        <w:t xml:space="preserve"> 发行方式：公募信用发行</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2.1.</w:t>
      </w:r>
      <w:r>
        <w:rPr>
          <w:rFonts w:ascii="宋体" w:hAnsi="宋体" w:cs="宋体"/>
          <w:kern w:val="0"/>
          <w:szCs w:val="21"/>
          <w:highlight w:val="none"/>
        </w:rPr>
        <w:t>8</w:t>
      </w:r>
      <w:r>
        <w:rPr>
          <w:rFonts w:hint="eastAsia" w:ascii="宋体" w:hAnsi="宋体" w:cs="宋体"/>
          <w:kern w:val="0"/>
          <w:szCs w:val="21"/>
          <w:highlight w:val="none"/>
        </w:rPr>
        <w:t xml:space="preserve"> 承销方式：余额包销</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2.1.</w:t>
      </w:r>
      <w:r>
        <w:rPr>
          <w:rFonts w:ascii="宋体" w:hAnsi="宋体" w:cs="宋体"/>
          <w:kern w:val="0"/>
          <w:szCs w:val="21"/>
          <w:highlight w:val="none"/>
        </w:rPr>
        <w:t>9</w:t>
      </w:r>
      <w:r>
        <w:rPr>
          <w:rFonts w:hint="eastAsia" w:ascii="宋体" w:hAnsi="宋体" w:cs="宋体"/>
          <w:kern w:val="0"/>
          <w:szCs w:val="21"/>
          <w:highlight w:val="none"/>
        </w:rPr>
        <w:t>募集资金用途：拟用于偿还债务融资工具本息等符合监管要求的用途</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2.2 招标范围：负责组织本次债券申报材料的编制，配合发行人进行债券报批；负责协调各相关中介机构开展与本次债券申报、发行相关的各项工作；负责沟通协调债券审批部门直至获得注册通知书；负责承销发行本次债券，确保发行成本；负责本次债券存续期相关服务工作；负责其他债券申报和发行工作中的相关事宜。</w:t>
      </w:r>
    </w:p>
    <w:p>
      <w:pPr>
        <w:pStyle w:val="4"/>
        <w:spacing w:before="0" w:line="440" w:lineRule="exact"/>
        <w:ind w:firstLine="422" w:firstLineChars="200"/>
        <w:jc w:val="both"/>
        <w:rPr>
          <w:rFonts w:ascii="宋体" w:hAnsi="宋体" w:eastAsia="宋体"/>
          <w:snapToGrid w:val="0"/>
          <w:sz w:val="21"/>
          <w:szCs w:val="21"/>
          <w:highlight w:val="none"/>
        </w:rPr>
      </w:pPr>
      <w:bookmarkStart w:id="11" w:name="_Toc460241891"/>
      <w:bookmarkStart w:id="12" w:name="_Toc399713341"/>
      <w:r>
        <w:rPr>
          <w:rFonts w:hint="eastAsia" w:ascii="宋体" w:hAnsi="宋体" w:eastAsia="宋体"/>
          <w:snapToGrid w:val="0"/>
          <w:sz w:val="21"/>
          <w:szCs w:val="21"/>
          <w:highlight w:val="none"/>
        </w:rPr>
        <w:t>3.投标人资格要求</w:t>
      </w:r>
      <w:bookmarkEnd w:id="11"/>
      <w:bookmarkEnd w:id="12"/>
    </w:p>
    <w:p>
      <w:pPr>
        <w:spacing w:line="440" w:lineRule="exact"/>
        <w:ind w:firstLine="420" w:firstLineChars="200"/>
        <w:rPr>
          <w:rFonts w:ascii="宋体" w:hAnsi="宋体" w:cs="宋体"/>
          <w:kern w:val="0"/>
          <w:szCs w:val="21"/>
          <w:highlight w:val="none"/>
        </w:rPr>
      </w:pPr>
      <w:bookmarkStart w:id="13" w:name="_Toc399713342"/>
      <w:r>
        <w:rPr>
          <w:rFonts w:hint="eastAsia" w:ascii="宋体" w:hAnsi="宋体" w:cs="宋体"/>
          <w:kern w:val="0"/>
          <w:szCs w:val="21"/>
          <w:highlight w:val="none"/>
        </w:rPr>
        <w:t>3.1本次招标实行资格后审，投标人应满足下列资格条件和业绩要求：</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3.1.1投标人须为在中国境内注册并具有独立法人资格和承担民事责任的能力的机构。</w:t>
      </w:r>
    </w:p>
    <w:p>
      <w:pPr>
        <w:spacing w:line="440" w:lineRule="exact"/>
        <w:ind w:firstLine="420" w:firstLineChars="200"/>
        <w:rPr>
          <w:rFonts w:ascii="宋体" w:hAnsi="宋体" w:cs="宋体"/>
          <w:kern w:val="0"/>
          <w:szCs w:val="21"/>
          <w:highlight w:val="none"/>
        </w:rPr>
      </w:pPr>
      <w:r>
        <w:rPr>
          <w:rFonts w:hint="eastAsia" w:ascii="宋体" w:hAnsi="宋体"/>
          <w:snapToGrid w:val="0"/>
          <w:szCs w:val="21"/>
          <w:highlight w:val="none"/>
        </w:rPr>
        <w:t>3.1.</w:t>
      </w:r>
      <w:r>
        <w:rPr>
          <w:rFonts w:ascii="宋体" w:hAnsi="宋体"/>
          <w:snapToGrid w:val="0"/>
          <w:szCs w:val="21"/>
          <w:highlight w:val="none"/>
        </w:rPr>
        <w:t>2</w:t>
      </w:r>
      <w:r>
        <w:rPr>
          <w:rFonts w:hint="eastAsia" w:ascii="宋体" w:hAnsi="宋体"/>
          <w:snapToGrid w:val="0"/>
          <w:szCs w:val="21"/>
          <w:highlight w:val="none"/>
        </w:rPr>
        <w:t>近三年在经</w:t>
      </w:r>
      <w:r>
        <w:rPr>
          <w:rFonts w:hint="eastAsia" w:ascii="宋体" w:hAnsi="宋体" w:cs="宋体"/>
          <w:kern w:val="0"/>
          <w:szCs w:val="21"/>
          <w:highlight w:val="none"/>
        </w:rPr>
        <w:t>营活动中没有重大违法记录或失信记录；没有受到过监管部门严重行政处罚并暂停债券发行相关业务，报名或参加比选时仍在处罚期内的。</w:t>
      </w:r>
    </w:p>
    <w:p>
      <w:pPr>
        <w:spacing w:line="44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3.1.</w:t>
      </w:r>
      <w:r>
        <w:rPr>
          <w:rFonts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 xml:space="preserve"> 公司内部控制规范，财务报表未被注册会计师出具否定意见或者无法出具意见的。</w:t>
      </w:r>
    </w:p>
    <w:p>
      <w:pPr>
        <w:spacing w:line="44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3.1.</w:t>
      </w:r>
      <w:r>
        <w:rPr>
          <w:rFonts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 未出现为争取业务向政府有关部门或国有企业非法进行利益输送或其他负面情形。</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3.1.</w:t>
      </w:r>
      <w:r>
        <w:rPr>
          <w:rFonts w:ascii="宋体" w:hAnsi="宋体" w:cs="宋体"/>
          <w:kern w:val="0"/>
          <w:szCs w:val="21"/>
          <w:highlight w:val="none"/>
        </w:rPr>
        <w:t>5</w:t>
      </w:r>
      <w:r>
        <w:rPr>
          <w:rFonts w:hint="eastAsia" w:ascii="宋体" w:hAnsi="宋体" w:cs="宋体"/>
          <w:kern w:val="0"/>
          <w:szCs w:val="21"/>
          <w:highlight w:val="none"/>
        </w:rPr>
        <w:t xml:space="preserve"> 具有履行业务所必须的专业技术能力和工作团队，有较强的承销实力和良好信誉。</w:t>
      </w:r>
    </w:p>
    <w:p>
      <w:pPr>
        <w:spacing w:line="440" w:lineRule="exact"/>
        <w:ind w:firstLine="420" w:firstLineChars="200"/>
        <w:rPr>
          <w:rFonts w:ascii="宋体" w:hAnsi="宋体"/>
          <w:snapToGrid w:val="0"/>
          <w:szCs w:val="21"/>
          <w:highlight w:val="none"/>
        </w:rPr>
      </w:pPr>
      <w:r>
        <w:rPr>
          <w:rFonts w:hint="eastAsia" w:ascii="宋体" w:hAnsi="宋体" w:cs="宋体"/>
          <w:kern w:val="0"/>
          <w:szCs w:val="21"/>
          <w:highlight w:val="none"/>
        </w:rPr>
        <w:t>3.2 本次采取单独投标</w:t>
      </w:r>
      <w:r>
        <w:rPr>
          <w:rFonts w:hint="eastAsia" w:ascii="宋体" w:hAnsi="宋体"/>
          <w:snapToGrid w:val="0"/>
          <w:szCs w:val="21"/>
          <w:highlight w:val="none"/>
        </w:rPr>
        <w:t>方式进行投标，投标主体需为对沙坪坝区属平台企业发行的银行间债券市场非金融企业债务融资工具担任过承销商的商业银行或证券公司。</w:t>
      </w:r>
    </w:p>
    <w:p>
      <w:pPr>
        <w:spacing w:line="440" w:lineRule="exact"/>
        <w:ind w:firstLine="422" w:firstLineChars="201"/>
        <w:rPr>
          <w:rFonts w:ascii="宋体" w:hAnsi="宋体" w:cs="宋体"/>
          <w:szCs w:val="21"/>
          <w:highlight w:val="none"/>
        </w:rPr>
      </w:pPr>
      <w:r>
        <w:rPr>
          <w:rFonts w:hint="eastAsia" w:ascii="宋体" w:hAnsi="宋体"/>
          <w:snapToGrid w:val="0"/>
          <w:szCs w:val="21"/>
          <w:highlight w:val="none"/>
        </w:rPr>
        <w:t xml:space="preserve"> 3.3 本次比选采用综合评估法评定1家银行和1家证券公司作为承销机构，组成联合承销团队。中选承销机构后续在债券发行过程中若未能达到本次债券发行的硬性条件，或因</w:t>
      </w:r>
      <w:r>
        <w:rPr>
          <w:rFonts w:hint="eastAsia" w:ascii="宋体" w:hAnsi="宋体" w:cs="宋体"/>
          <w:szCs w:val="21"/>
          <w:highlight w:val="none"/>
        </w:rPr>
        <w:t>在我司指定期限内未取得发行债券注册通知书等情况，严重影</w:t>
      </w:r>
      <w:r>
        <w:rPr>
          <w:rFonts w:hint="eastAsia" w:ascii="宋体" w:hAnsi="宋体"/>
          <w:snapToGrid w:val="0"/>
          <w:szCs w:val="21"/>
          <w:highlight w:val="none"/>
        </w:rPr>
        <w:t>响发债工作推进，</w:t>
      </w:r>
      <w:r>
        <w:rPr>
          <w:rFonts w:hint="eastAsia" w:ascii="宋体" w:hAnsi="宋体" w:cs="宋体"/>
          <w:kern w:val="0"/>
          <w:szCs w:val="21"/>
          <w:highlight w:val="none"/>
        </w:rPr>
        <w:t>我司</w:t>
      </w:r>
      <w:r>
        <w:rPr>
          <w:rFonts w:hint="eastAsia" w:ascii="宋体" w:hAnsi="宋体"/>
          <w:snapToGrid w:val="0"/>
          <w:szCs w:val="21"/>
          <w:highlight w:val="none"/>
        </w:rPr>
        <w:t>有权决定扣减其承销费甚至要求该金融机构退出联</w:t>
      </w:r>
      <w:r>
        <w:rPr>
          <w:rFonts w:hint="eastAsia" w:ascii="宋体" w:hAnsi="宋体" w:cs="宋体"/>
          <w:szCs w:val="21"/>
          <w:highlight w:val="none"/>
        </w:rPr>
        <w:t>合承销团队。</w:t>
      </w:r>
    </w:p>
    <w:p>
      <w:pPr>
        <w:pStyle w:val="4"/>
        <w:spacing w:line="440" w:lineRule="exact"/>
        <w:ind w:firstLine="481"/>
        <w:rPr>
          <w:rFonts w:ascii="宋体" w:hAnsi="宋体" w:eastAsia="宋体" w:cs="宋体"/>
          <w:b w:val="0"/>
          <w:kern w:val="2"/>
          <w:sz w:val="21"/>
          <w:szCs w:val="21"/>
          <w:highlight w:val="none"/>
        </w:rPr>
      </w:pPr>
      <w:r>
        <w:rPr>
          <w:rFonts w:hint="eastAsia" w:ascii="宋体" w:hAnsi="宋体" w:eastAsia="宋体" w:cs="宋体"/>
          <w:b w:val="0"/>
          <w:kern w:val="2"/>
          <w:sz w:val="21"/>
          <w:szCs w:val="21"/>
          <w:highlight w:val="none"/>
        </w:rPr>
        <w:t>3.4具备非金融企业债务融资工具一般主承销商资格。</w:t>
      </w:r>
    </w:p>
    <w:p>
      <w:pPr>
        <w:pStyle w:val="4"/>
        <w:spacing w:line="440" w:lineRule="exact"/>
        <w:ind w:firstLine="420" w:firstLineChars="200"/>
        <w:rPr>
          <w:highlight w:val="none"/>
        </w:rPr>
      </w:pPr>
      <w:r>
        <w:rPr>
          <w:rFonts w:hint="eastAsia" w:ascii="宋体" w:hAnsi="宋体" w:eastAsia="宋体" w:cs="宋体"/>
          <w:b w:val="0"/>
          <w:kern w:val="2"/>
          <w:sz w:val="21"/>
          <w:szCs w:val="21"/>
          <w:highlight w:val="none"/>
        </w:rPr>
        <w:t>3</w:t>
      </w:r>
      <w:r>
        <w:rPr>
          <w:rFonts w:ascii="宋体" w:hAnsi="宋体" w:eastAsia="宋体" w:cs="宋体"/>
          <w:b w:val="0"/>
          <w:kern w:val="2"/>
          <w:sz w:val="21"/>
          <w:szCs w:val="21"/>
          <w:highlight w:val="none"/>
        </w:rPr>
        <w:t>.5</w:t>
      </w:r>
      <w:r>
        <w:rPr>
          <w:rFonts w:hint="eastAsia" w:ascii="宋体" w:hAnsi="宋体" w:eastAsia="宋体" w:cs="宋体"/>
          <w:b w:val="0"/>
          <w:kern w:val="2"/>
          <w:sz w:val="21"/>
          <w:szCs w:val="21"/>
          <w:highlight w:val="none"/>
        </w:rPr>
        <w:t>金融机构作为主承销商对本次债券承担余额包销责任，在与发行人就发行窗口及发行利率区间达成一致的前提下，按照承销协议签订的余额包销比例对本次债券承担余额包销责任；承销费率原则为按年支付；本次债券发行为信用发行；若金融机构中标，后续确因发债工作需要自行邀请其他金融机构加入联合承销工作组，须经发行人同意，并由该金融机构自行承担支付给其他金融机构的承销费用。</w:t>
      </w:r>
    </w:p>
    <w:p>
      <w:pPr>
        <w:pStyle w:val="4"/>
        <w:spacing w:before="0" w:line="440" w:lineRule="exact"/>
        <w:ind w:firstLine="422" w:firstLineChars="200"/>
        <w:jc w:val="both"/>
        <w:rPr>
          <w:rFonts w:ascii="宋体" w:hAnsi="宋体" w:eastAsia="宋体"/>
          <w:snapToGrid w:val="0"/>
          <w:sz w:val="21"/>
          <w:szCs w:val="21"/>
          <w:highlight w:val="none"/>
        </w:rPr>
      </w:pPr>
      <w:bookmarkStart w:id="14" w:name="_Toc460241892"/>
      <w:r>
        <w:rPr>
          <w:rFonts w:hint="eastAsia" w:ascii="宋体" w:hAnsi="宋体" w:eastAsia="宋体"/>
          <w:snapToGrid w:val="0"/>
          <w:sz w:val="21"/>
          <w:szCs w:val="21"/>
          <w:highlight w:val="none"/>
        </w:rPr>
        <w:t>4.招标文件的获取</w:t>
      </w:r>
      <w:bookmarkEnd w:id="13"/>
      <w:bookmarkEnd w:id="14"/>
    </w:p>
    <w:p>
      <w:pPr>
        <w:autoSpaceDE w:val="0"/>
        <w:autoSpaceDN w:val="0"/>
        <w:adjustRightInd w:val="0"/>
        <w:snapToGrid w:val="0"/>
        <w:spacing w:line="440" w:lineRule="exact"/>
        <w:ind w:firstLine="420" w:firstLineChars="200"/>
        <w:rPr>
          <w:rFonts w:ascii="宋体" w:hAnsi="宋体"/>
          <w:b/>
          <w:snapToGrid w:val="0"/>
          <w:szCs w:val="21"/>
          <w:highlight w:val="none"/>
        </w:rPr>
      </w:pPr>
      <w:bookmarkStart w:id="15" w:name="_Toc399713343"/>
      <w:r>
        <w:rPr>
          <w:rFonts w:hint="eastAsia" w:ascii="宋体" w:hAnsi="宋体"/>
          <w:snapToGrid w:val="0"/>
          <w:szCs w:val="21"/>
          <w:highlight w:val="none"/>
        </w:rPr>
        <w:t>凡有意参加投标者，</w:t>
      </w:r>
      <w:r>
        <w:rPr>
          <w:rFonts w:hint="eastAsia" w:ascii="宋体" w:hAnsi="宋体" w:cs="MingLiU"/>
          <w:color w:val="C00000"/>
          <w:kern w:val="0"/>
          <w:szCs w:val="21"/>
          <w:highlight w:val="none"/>
        </w:rPr>
        <w:t>请</w:t>
      </w:r>
      <w:r>
        <w:rPr>
          <w:rFonts w:hint="eastAsia" w:ascii="宋体" w:hAnsi="宋体"/>
          <w:snapToGrid w:val="0"/>
          <w:color w:val="C00000"/>
          <w:szCs w:val="21"/>
          <w:highlight w:val="none"/>
        </w:rPr>
        <w:t>于2024年</w:t>
      </w:r>
      <w:r>
        <w:rPr>
          <w:rFonts w:hint="eastAsia" w:ascii="宋体" w:hAnsi="宋体"/>
          <w:snapToGrid w:val="0"/>
          <w:color w:val="C00000"/>
          <w:szCs w:val="21"/>
          <w:highlight w:val="none"/>
          <w:lang w:val="en-US" w:eastAsia="zh-CN"/>
        </w:rPr>
        <w:t>3</w:t>
      </w:r>
      <w:r>
        <w:rPr>
          <w:rFonts w:hint="eastAsia" w:ascii="宋体" w:hAnsi="宋体"/>
          <w:snapToGrid w:val="0"/>
          <w:color w:val="C00000"/>
          <w:szCs w:val="21"/>
          <w:highlight w:val="none"/>
        </w:rPr>
        <w:t>月</w:t>
      </w:r>
      <w:r>
        <w:rPr>
          <w:rFonts w:hint="eastAsia" w:ascii="宋体" w:hAnsi="宋体"/>
          <w:snapToGrid w:val="0"/>
          <w:color w:val="C00000"/>
          <w:szCs w:val="21"/>
          <w:highlight w:val="none"/>
          <w:lang w:val="en-US" w:eastAsia="zh-CN"/>
        </w:rPr>
        <w:t>11</w:t>
      </w:r>
      <w:r>
        <w:rPr>
          <w:rFonts w:hint="eastAsia" w:ascii="宋体" w:hAnsi="宋体"/>
          <w:snapToGrid w:val="0"/>
          <w:color w:val="C00000"/>
          <w:szCs w:val="21"/>
          <w:highlight w:val="none"/>
        </w:rPr>
        <w:t>日起，（北京</w:t>
      </w:r>
      <w:r>
        <w:rPr>
          <w:rFonts w:hint="eastAsia" w:ascii="宋体" w:hAnsi="宋体" w:cs="MingLiU"/>
          <w:color w:val="C00000"/>
          <w:kern w:val="0"/>
          <w:szCs w:val="21"/>
          <w:highlight w:val="none"/>
        </w:rPr>
        <w:t>时间，下同），在</w:t>
      </w:r>
      <w:r>
        <w:rPr>
          <w:rFonts w:hint="eastAsia" w:ascii="宋体" w:hAnsi="宋体" w:cs="宋体"/>
          <w:color w:val="C00000"/>
          <w:szCs w:val="21"/>
          <w:highlight w:val="none"/>
        </w:rPr>
        <w:t>重庆国际物流枢纽园区建设有限责任公司</w:t>
      </w:r>
      <w:r>
        <w:rPr>
          <w:rFonts w:hint="eastAsia" w:ascii="宋体" w:hAnsi="宋体" w:cs="MingLiU"/>
          <w:color w:val="C00000"/>
          <w:kern w:val="0"/>
          <w:szCs w:val="21"/>
          <w:highlight w:val="none"/>
        </w:rPr>
        <w:t>官网（</w:t>
      </w:r>
      <w:r>
        <w:rPr>
          <w:rFonts w:ascii="宋体" w:hAnsi="宋体" w:cs="MingLiU"/>
          <w:color w:val="C00000"/>
          <w:kern w:val="0"/>
          <w:szCs w:val="21"/>
          <w:highlight w:val="none"/>
        </w:rPr>
        <w:t>http://www.wmlip.com/</w:t>
      </w:r>
      <w:r>
        <w:rPr>
          <w:rFonts w:hint="eastAsia" w:ascii="宋体" w:hAnsi="宋体" w:cs="MingLiU"/>
          <w:color w:val="C00000"/>
          <w:kern w:val="0"/>
          <w:szCs w:val="21"/>
          <w:highlight w:val="none"/>
        </w:rPr>
        <w:t>）上“公告公示”区</w:t>
      </w:r>
      <w:r>
        <w:rPr>
          <w:rFonts w:hint="eastAsia" w:ascii="宋体" w:hAnsi="宋体" w:cs="MingLiU"/>
          <w:kern w:val="0"/>
          <w:szCs w:val="21"/>
          <w:highlight w:val="none"/>
        </w:rPr>
        <w:t>仔细阅读和下载：招标文件、澄清、修改、补充通知等全部内容。不管下载与否都视为潜在投标人全部知晓有关招投标过程和全部内容。</w:t>
      </w:r>
    </w:p>
    <w:bookmarkEnd w:id="15"/>
    <w:p>
      <w:pPr>
        <w:pStyle w:val="4"/>
        <w:spacing w:before="0" w:line="440" w:lineRule="exact"/>
        <w:ind w:firstLine="422" w:firstLineChars="200"/>
        <w:jc w:val="both"/>
        <w:rPr>
          <w:rFonts w:ascii="宋体" w:hAnsi="宋体" w:eastAsia="宋体"/>
          <w:snapToGrid w:val="0"/>
          <w:sz w:val="21"/>
          <w:szCs w:val="21"/>
          <w:highlight w:val="none"/>
        </w:rPr>
      </w:pPr>
      <w:bookmarkStart w:id="16" w:name="_Toc460241893"/>
      <w:r>
        <w:rPr>
          <w:rFonts w:hint="eastAsia" w:ascii="宋体" w:hAnsi="宋体" w:eastAsia="宋体"/>
          <w:snapToGrid w:val="0"/>
          <w:sz w:val="21"/>
          <w:szCs w:val="21"/>
          <w:highlight w:val="none"/>
        </w:rPr>
        <w:t>5.投标文件的递交</w:t>
      </w:r>
      <w:bookmarkEnd w:id="16"/>
    </w:p>
    <w:p>
      <w:pPr>
        <w:tabs>
          <w:tab w:val="left" w:pos="1580"/>
          <w:tab w:val="left" w:pos="6000"/>
          <w:tab w:val="left" w:pos="6320"/>
          <w:tab w:val="left" w:pos="6887"/>
        </w:tabs>
        <w:autoSpaceDE w:val="0"/>
        <w:autoSpaceDN w:val="0"/>
        <w:adjustRightInd w:val="0"/>
        <w:snapToGrid w:val="0"/>
        <w:spacing w:line="440" w:lineRule="exact"/>
        <w:ind w:firstLine="420" w:firstLineChars="200"/>
        <w:rPr>
          <w:rFonts w:ascii="宋体" w:hAnsi="宋体"/>
          <w:snapToGrid w:val="0"/>
          <w:szCs w:val="21"/>
          <w:highlight w:val="none"/>
        </w:rPr>
      </w:pPr>
      <w:bookmarkStart w:id="17" w:name="_Toc306877510"/>
      <w:bookmarkStart w:id="18" w:name="_Toc399713344"/>
      <w:bookmarkStart w:id="19" w:name="_Toc347483465"/>
      <w:r>
        <w:rPr>
          <w:rFonts w:hint="eastAsia" w:ascii="宋体" w:hAnsi="宋体"/>
          <w:snapToGrid w:val="0"/>
          <w:szCs w:val="21"/>
          <w:highlight w:val="none"/>
        </w:rPr>
        <w:t>投标文件递交截止时间及开标时间以比选文件为准，地点为</w:t>
      </w:r>
      <w:r>
        <w:rPr>
          <w:rFonts w:hint="eastAsia" w:ascii="宋体" w:hAnsi="宋体" w:cs="宋体"/>
          <w:kern w:val="0"/>
          <w:szCs w:val="21"/>
          <w:highlight w:val="none"/>
        </w:rPr>
        <w:t>重庆国际物流枢纽园区建设有限责任公司</w:t>
      </w:r>
      <w:r>
        <w:rPr>
          <w:rFonts w:hint="eastAsia" w:ascii="宋体" w:hAnsi="宋体"/>
          <w:snapToGrid w:val="0"/>
          <w:szCs w:val="21"/>
          <w:highlight w:val="none"/>
        </w:rPr>
        <w:t>。</w:t>
      </w:r>
    </w:p>
    <w:p>
      <w:pPr>
        <w:autoSpaceDE w:val="0"/>
        <w:autoSpaceDN w:val="0"/>
        <w:adjustRightInd w:val="0"/>
        <w:snapToGrid w:val="0"/>
        <w:spacing w:line="440" w:lineRule="exact"/>
        <w:ind w:firstLine="420" w:firstLineChars="200"/>
        <w:rPr>
          <w:rFonts w:ascii="宋体" w:hAnsi="宋体" w:cs="MingLiU"/>
          <w:snapToGrid w:val="0"/>
          <w:kern w:val="0"/>
          <w:highlight w:val="none"/>
        </w:rPr>
      </w:pPr>
      <w:r>
        <w:rPr>
          <w:rFonts w:hint="eastAsia" w:ascii="宋体" w:hAnsi="宋体"/>
          <w:snapToGrid w:val="0"/>
          <w:szCs w:val="21"/>
          <w:highlight w:val="none"/>
        </w:rPr>
        <w:t>逾期送达的或者未送达指定地点的比选申请文件，比选人不予受理。</w:t>
      </w:r>
    </w:p>
    <w:bookmarkEnd w:id="17"/>
    <w:bookmarkEnd w:id="18"/>
    <w:bookmarkEnd w:id="19"/>
    <w:p>
      <w:pPr>
        <w:pStyle w:val="3"/>
        <w:spacing w:line="440" w:lineRule="exact"/>
        <w:ind w:firstLine="420" w:firstLineChars="200"/>
        <w:jc w:val="both"/>
        <w:rPr>
          <w:rFonts w:ascii="宋体" w:hAnsi="宋体" w:eastAsia="宋体"/>
          <w:snapToGrid w:val="0"/>
          <w:sz w:val="21"/>
          <w:szCs w:val="21"/>
          <w:highlight w:val="none"/>
        </w:rPr>
      </w:pPr>
      <w:bookmarkStart w:id="20" w:name="_Toc460241895"/>
      <w:bookmarkStart w:id="21" w:name="_Toc399713348"/>
      <w:r>
        <w:rPr>
          <w:rFonts w:hint="eastAsia" w:ascii="宋体" w:hAnsi="宋体" w:eastAsia="宋体"/>
          <w:snapToGrid w:val="0"/>
          <w:sz w:val="21"/>
          <w:szCs w:val="21"/>
          <w:highlight w:val="none"/>
        </w:rPr>
        <w:t>6.联系方式</w:t>
      </w:r>
      <w:bookmarkEnd w:id="20"/>
      <w:bookmarkEnd w:id="21"/>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招 标 人：重庆国际物流枢纽园区建设有限责任公司</w:t>
      </w:r>
    </w:p>
    <w:p>
      <w:pPr>
        <w:ind w:firstLine="420" w:firstLineChars="200"/>
        <w:rPr>
          <w:highlight w:val="none"/>
        </w:rPr>
      </w:pPr>
      <w:r>
        <w:rPr>
          <w:rFonts w:hint="eastAsia" w:ascii="宋体" w:hAnsi="宋体" w:cs="宋体"/>
          <w:kern w:val="0"/>
          <w:szCs w:val="21"/>
          <w:highlight w:val="none"/>
        </w:rPr>
        <w:t>地    址：</w:t>
      </w:r>
      <w:r>
        <w:rPr>
          <w:rFonts w:hint="eastAsia"/>
          <w:highlight w:val="none"/>
        </w:rPr>
        <w:t>重庆市沙坪坝区土主镇享通路39号黄金湾智谷B1栋</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联 系 人：张平　</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联系电话：</w:t>
      </w:r>
      <w:r>
        <w:rPr>
          <w:rFonts w:ascii="宋体" w:hAnsi="宋体" w:cs="宋体"/>
          <w:kern w:val="0"/>
          <w:szCs w:val="21"/>
          <w:highlight w:val="none"/>
        </w:rPr>
        <w:t>023-65673985</w:t>
      </w:r>
    </w:p>
    <w:p>
      <w:pPr>
        <w:tabs>
          <w:tab w:val="left" w:pos="1080"/>
          <w:tab w:val="left" w:pos="1155"/>
        </w:tabs>
        <w:spacing w:line="320" w:lineRule="exact"/>
        <w:ind w:firstLine="420" w:firstLineChars="200"/>
        <w:rPr>
          <w:rFonts w:ascii="宋体" w:hAnsi="宋体" w:cs="宋体"/>
          <w:kern w:val="0"/>
          <w:szCs w:val="21"/>
          <w:highlight w:val="none"/>
        </w:rPr>
      </w:pPr>
    </w:p>
    <w:p>
      <w:pPr>
        <w:pStyle w:val="4"/>
        <w:rPr>
          <w:rFonts w:ascii="宋体" w:hAnsi="宋体" w:cs="宋体"/>
          <w:szCs w:val="21"/>
          <w:highlight w:val="none"/>
        </w:rPr>
      </w:pPr>
    </w:p>
    <w:p>
      <w:pPr>
        <w:rPr>
          <w:rFonts w:ascii="宋体" w:hAnsi="宋体" w:cs="宋体"/>
          <w:kern w:val="0"/>
          <w:szCs w:val="21"/>
          <w:highlight w:val="none"/>
        </w:rPr>
      </w:pPr>
    </w:p>
    <w:p>
      <w:pPr>
        <w:pStyle w:val="4"/>
        <w:rPr>
          <w:rFonts w:ascii="宋体" w:hAnsi="宋体" w:cs="宋体"/>
          <w:szCs w:val="21"/>
          <w:highlight w:val="none"/>
        </w:rPr>
      </w:pPr>
    </w:p>
    <w:p>
      <w:pPr>
        <w:rPr>
          <w:rFonts w:ascii="宋体" w:hAnsi="宋体" w:cs="宋体"/>
          <w:kern w:val="0"/>
          <w:szCs w:val="21"/>
          <w:highlight w:val="none"/>
        </w:rPr>
      </w:pPr>
    </w:p>
    <w:p>
      <w:pPr>
        <w:pStyle w:val="4"/>
        <w:rPr>
          <w:rFonts w:ascii="宋体" w:hAnsi="宋体" w:cs="宋体"/>
          <w:szCs w:val="21"/>
          <w:highlight w:val="none"/>
        </w:rPr>
      </w:pPr>
    </w:p>
    <w:p>
      <w:pPr>
        <w:rPr>
          <w:rFonts w:ascii="宋体" w:hAnsi="宋体" w:cs="宋体"/>
          <w:kern w:val="0"/>
          <w:szCs w:val="21"/>
          <w:highlight w:val="none"/>
        </w:rPr>
      </w:pPr>
    </w:p>
    <w:p>
      <w:pPr>
        <w:pStyle w:val="4"/>
        <w:rPr>
          <w:rFonts w:ascii="宋体" w:hAnsi="宋体" w:cs="宋体"/>
          <w:szCs w:val="21"/>
          <w:highlight w:val="none"/>
        </w:rPr>
      </w:pPr>
    </w:p>
    <w:p>
      <w:pPr>
        <w:rPr>
          <w:rFonts w:ascii="宋体" w:hAnsi="宋体" w:cs="宋体"/>
          <w:kern w:val="0"/>
          <w:szCs w:val="21"/>
          <w:highlight w:val="none"/>
        </w:rPr>
      </w:pPr>
    </w:p>
    <w:p>
      <w:pPr>
        <w:pStyle w:val="4"/>
        <w:rPr>
          <w:rFonts w:ascii="宋体" w:hAnsi="宋体" w:cs="宋体"/>
          <w:szCs w:val="21"/>
          <w:highlight w:val="none"/>
        </w:rPr>
      </w:pPr>
    </w:p>
    <w:p>
      <w:pPr>
        <w:rPr>
          <w:rFonts w:ascii="宋体" w:hAnsi="宋体" w:cs="宋体"/>
          <w:kern w:val="0"/>
          <w:szCs w:val="21"/>
          <w:highlight w:val="none"/>
        </w:rPr>
      </w:pPr>
    </w:p>
    <w:p>
      <w:pPr>
        <w:pStyle w:val="4"/>
        <w:rPr>
          <w:rFonts w:ascii="宋体" w:hAnsi="宋体" w:cs="宋体"/>
          <w:szCs w:val="21"/>
          <w:highlight w:val="none"/>
        </w:rPr>
      </w:pPr>
    </w:p>
    <w:p>
      <w:pPr>
        <w:rPr>
          <w:rFonts w:ascii="宋体" w:hAnsi="宋体" w:cs="宋体"/>
          <w:kern w:val="0"/>
          <w:szCs w:val="21"/>
          <w:highlight w:val="none"/>
        </w:rPr>
      </w:pPr>
    </w:p>
    <w:p>
      <w:pPr>
        <w:pStyle w:val="4"/>
        <w:rPr>
          <w:rFonts w:ascii="宋体" w:hAnsi="宋体" w:cs="宋体"/>
          <w:szCs w:val="21"/>
          <w:highlight w:val="none"/>
        </w:rPr>
      </w:pPr>
    </w:p>
    <w:p>
      <w:pPr>
        <w:rPr>
          <w:rFonts w:ascii="宋体" w:hAnsi="宋体" w:cs="宋体"/>
          <w:kern w:val="0"/>
          <w:szCs w:val="21"/>
          <w:highlight w:val="none"/>
        </w:rPr>
      </w:pPr>
    </w:p>
    <w:p>
      <w:pPr>
        <w:pStyle w:val="3"/>
        <w:jc w:val="center"/>
        <w:rPr>
          <w:rFonts w:ascii="宋体" w:hAnsi="宋体" w:eastAsia="宋体"/>
          <w:sz w:val="48"/>
          <w:szCs w:val="48"/>
          <w:highlight w:val="none"/>
        </w:rPr>
      </w:pPr>
      <w:bookmarkStart w:id="22" w:name="_Toc460241896"/>
      <w:r>
        <w:rPr>
          <w:rFonts w:hint="eastAsia" w:ascii="宋体" w:hAnsi="宋体" w:eastAsia="宋体"/>
          <w:sz w:val="48"/>
          <w:szCs w:val="48"/>
          <w:highlight w:val="none"/>
        </w:rPr>
        <w:t>第二章 投标人须知</w:t>
      </w:r>
      <w:bookmarkEnd w:id="0"/>
      <w:bookmarkEnd w:id="22"/>
    </w:p>
    <w:tbl>
      <w:tblPr>
        <w:tblStyle w:val="2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43"/>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trPr>
        <w:tc>
          <w:tcPr>
            <w:tcW w:w="993" w:type="dxa"/>
            <w:vAlign w:val="center"/>
          </w:tcPr>
          <w:p>
            <w:pPr>
              <w:snapToGrid w:val="0"/>
              <w:spacing w:line="360" w:lineRule="exact"/>
              <w:jc w:val="center"/>
              <w:rPr>
                <w:rFonts w:ascii="宋体" w:hAnsi="宋体" w:cs="宋体"/>
                <w:b/>
                <w:kern w:val="0"/>
                <w:szCs w:val="21"/>
                <w:highlight w:val="none"/>
              </w:rPr>
            </w:pPr>
            <w:r>
              <w:rPr>
                <w:rFonts w:hint="eastAsia" w:ascii="宋体" w:hAnsi="宋体" w:cs="宋体"/>
                <w:b/>
                <w:kern w:val="0"/>
                <w:szCs w:val="21"/>
                <w:highlight w:val="none"/>
              </w:rPr>
              <w:t>条款号</w:t>
            </w:r>
          </w:p>
        </w:tc>
        <w:tc>
          <w:tcPr>
            <w:tcW w:w="1843" w:type="dxa"/>
            <w:vAlign w:val="center"/>
          </w:tcPr>
          <w:p>
            <w:pPr>
              <w:snapToGrid w:val="0"/>
              <w:spacing w:line="360" w:lineRule="exact"/>
              <w:jc w:val="center"/>
              <w:rPr>
                <w:rFonts w:ascii="宋体" w:hAnsi="宋体" w:cs="宋体"/>
                <w:b/>
                <w:kern w:val="0"/>
                <w:szCs w:val="21"/>
                <w:highlight w:val="none"/>
              </w:rPr>
            </w:pPr>
            <w:r>
              <w:rPr>
                <w:rFonts w:hint="eastAsia" w:ascii="宋体" w:hAnsi="宋体" w:cs="宋体"/>
                <w:b/>
                <w:kern w:val="0"/>
                <w:szCs w:val="21"/>
                <w:highlight w:val="none"/>
              </w:rPr>
              <w:t>条款名称</w:t>
            </w:r>
          </w:p>
        </w:tc>
        <w:tc>
          <w:tcPr>
            <w:tcW w:w="5811" w:type="dxa"/>
            <w:vAlign w:val="center"/>
          </w:tcPr>
          <w:p>
            <w:pPr>
              <w:snapToGrid w:val="0"/>
              <w:spacing w:line="360" w:lineRule="exact"/>
              <w:jc w:val="center"/>
              <w:rPr>
                <w:rFonts w:ascii="宋体" w:hAnsi="宋体" w:cs="宋体"/>
                <w:b/>
                <w:kern w:val="0"/>
                <w:szCs w:val="21"/>
                <w:highlight w:val="none"/>
              </w:rPr>
            </w:pPr>
            <w:r>
              <w:rPr>
                <w:rFonts w:hint="eastAsia" w:ascii="宋体" w:hAnsi="宋体" w:cs="宋体"/>
                <w:b/>
                <w:kern w:val="0"/>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pPr>
              <w:snapToGrid w:val="0"/>
              <w:spacing w:line="360" w:lineRule="exact"/>
              <w:jc w:val="center"/>
              <w:rPr>
                <w:rFonts w:ascii="宋体" w:hAnsi="宋体" w:cs="宋体"/>
                <w:kern w:val="0"/>
                <w:szCs w:val="21"/>
                <w:highlight w:val="none"/>
              </w:rPr>
            </w:pPr>
            <w:r>
              <w:rPr>
                <w:rFonts w:hint="eastAsia" w:ascii="宋体" w:hAnsi="宋体" w:cs="宋体"/>
                <w:kern w:val="0"/>
                <w:szCs w:val="21"/>
                <w:highlight w:val="none"/>
              </w:rPr>
              <w:t>1.1.1</w:t>
            </w:r>
          </w:p>
        </w:tc>
        <w:tc>
          <w:tcPr>
            <w:tcW w:w="1843" w:type="dxa"/>
            <w:vAlign w:val="center"/>
          </w:tcPr>
          <w:p>
            <w:pPr>
              <w:snapToGrid w:val="0"/>
              <w:spacing w:line="360" w:lineRule="exact"/>
              <w:jc w:val="center"/>
              <w:rPr>
                <w:rFonts w:ascii="宋体" w:hAnsi="宋体" w:cs="宋体"/>
                <w:kern w:val="0"/>
                <w:szCs w:val="21"/>
                <w:highlight w:val="none"/>
              </w:rPr>
            </w:pPr>
            <w:r>
              <w:rPr>
                <w:rFonts w:hint="eastAsia" w:ascii="宋体" w:hAnsi="宋体" w:cs="宋体"/>
                <w:kern w:val="0"/>
                <w:szCs w:val="21"/>
                <w:highlight w:val="none"/>
              </w:rPr>
              <w:t>招标人</w:t>
            </w:r>
          </w:p>
        </w:tc>
        <w:tc>
          <w:tcPr>
            <w:tcW w:w="5811" w:type="dxa"/>
            <w:vAlign w:val="center"/>
          </w:tcPr>
          <w:p>
            <w:pPr>
              <w:spacing w:line="440" w:lineRule="exact"/>
              <w:rPr>
                <w:rFonts w:ascii="宋体" w:hAnsi="宋体" w:cs="宋体"/>
                <w:kern w:val="0"/>
                <w:szCs w:val="21"/>
                <w:highlight w:val="none"/>
              </w:rPr>
            </w:pPr>
            <w:r>
              <w:rPr>
                <w:rFonts w:hint="eastAsia" w:ascii="宋体" w:hAnsi="宋体" w:cs="宋体"/>
                <w:kern w:val="0"/>
                <w:szCs w:val="21"/>
                <w:highlight w:val="none"/>
              </w:rPr>
              <w:t>招 标 人：重庆国际物流枢纽园区建设有限责任公司</w:t>
            </w:r>
          </w:p>
          <w:p>
            <w:pPr>
              <w:rPr>
                <w:highlight w:val="none"/>
              </w:rPr>
            </w:pPr>
            <w:r>
              <w:rPr>
                <w:rFonts w:hint="eastAsia" w:ascii="宋体" w:hAnsi="宋体" w:cs="宋体"/>
                <w:kern w:val="0"/>
                <w:szCs w:val="21"/>
                <w:highlight w:val="none"/>
              </w:rPr>
              <w:t>地    址：</w:t>
            </w:r>
            <w:r>
              <w:rPr>
                <w:rFonts w:hint="eastAsia"/>
                <w:highlight w:val="none"/>
              </w:rPr>
              <w:t>重庆市沙坪坝区土主镇享通路39号黄金湾智谷B1栋</w:t>
            </w:r>
          </w:p>
          <w:p>
            <w:pPr>
              <w:spacing w:line="320" w:lineRule="exact"/>
              <w:rPr>
                <w:rFonts w:ascii="宋体" w:hAnsi="宋体" w:cs="宋体"/>
                <w:kern w:val="0"/>
                <w:szCs w:val="21"/>
                <w:highlight w:val="none"/>
              </w:rPr>
            </w:pPr>
            <w:r>
              <w:rPr>
                <w:rFonts w:hint="eastAsia" w:ascii="宋体" w:hAnsi="宋体" w:cs="宋体"/>
                <w:kern w:val="0"/>
                <w:szCs w:val="21"/>
                <w:highlight w:val="none"/>
              </w:rPr>
              <w:t>联 系 人：张平</w:t>
            </w:r>
          </w:p>
          <w:p>
            <w:pPr>
              <w:spacing w:line="440" w:lineRule="exact"/>
              <w:rPr>
                <w:rFonts w:ascii="宋体" w:hAnsi="宋体" w:cs="宋体"/>
                <w:kern w:val="0"/>
                <w:szCs w:val="21"/>
                <w:highlight w:val="none"/>
              </w:rPr>
            </w:pPr>
            <w:r>
              <w:rPr>
                <w:rFonts w:hint="eastAsia" w:ascii="宋体" w:hAnsi="宋体" w:cs="宋体"/>
                <w:kern w:val="0"/>
                <w:szCs w:val="21"/>
                <w:highlight w:val="none"/>
              </w:rPr>
              <w:t>联系电话：</w:t>
            </w:r>
            <w:r>
              <w:rPr>
                <w:rFonts w:ascii="宋体" w:hAnsi="宋体" w:cs="宋体"/>
                <w:kern w:val="0"/>
                <w:szCs w:val="21"/>
                <w:highlight w:val="none"/>
              </w:rPr>
              <w:t>023-65673985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93" w:type="dxa"/>
            <w:vAlign w:val="center"/>
          </w:tcPr>
          <w:p>
            <w:pPr>
              <w:snapToGrid w:val="0"/>
              <w:spacing w:line="360" w:lineRule="exact"/>
              <w:jc w:val="center"/>
              <w:rPr>
                <w:rFonts w:ascii="宋体" w:hAnsi="宋体" w:cs="宋体"/>
                <w:kern w:val="0"/>
                <w:szCs w:val="21"/>
                <w:highlight w:val="none"/>
              </w:rPr>
            </w:pPr>
            <w:r>
              <w:rPr>
                <w:rFonts w:hint="eastAsia" w:ascii="宋体" w:hAnsi="宋体" w:cs="宋体"/>
                <w:kern w:val="0"/>
                <w:szCs w:val="21"/>
                <w:highlight w:val="none"/>
              </w:rPr>
              <w:t>1.1.2</w:t>
            </w:r>
          </w:p>
        </w:tc>
        <w:tc>
          <w:tcPr>
            <w:tcW w:w="1843" w:type="dxa"/>
            <w:vAlign w:val="center"/>
          </w:tcPr>
          <w:p>
            <w:pPr>
              <w:snapToGrid w:val="0"/>
              <w:spacing w:line="360" w:lineRule="exact"/>
              <w:jc w:val="center"/>
              <w:rPr>
                <w:rFonts w:ascii="宋体" w:hAnsi="宋体" w:cs="宋体"/>
                <w:kern w:val="0"/>
                <w:szCs w:val="21"/>
                <w:highlight w:val="none"/>
              </w:rPr>
            </w:pPr>
            <w:r>
              <w:rPr>
                <w:rFonts w:hint="eastAsia" w:ascii="宋体" w:hAnsi="宋体" w:cs="宋体"/>
                <w:kern w:val="0"/>
                <w:szCs w:val="21"/>
                <w:highlight w:val="none"/>
              </w:rPr>
              <w:t>项目名称</w:t>
            </w:r>
          </w:p>
        </w:tc>
        <w:tc>
          <w:tcPr>
            <w:tcW w:w="5811" w:type="dxa"/>
            <w:vAlign w:val="center"/>
          </w:tcPr>
          <w:p>
            <w:pPr>
              <w:spacing w:line="440" w:lineRule="exact"/>
              <w:rPr>
                <w:rFonts w:ascii="宋体" w:hAnsi="宋体" w:cs="宋体"/>
                <w:kern w:val="0"/>
                <w:szCs w:val="21"/>
                <w:highlight w:val="none"/>
              </w:rPr>
            </w:pPr>
            <w:r>
              <w:rPr>
                <w:rFonts w:hint="eastAsia" w:ascii="宋体" w:hAnsi="宋体" w:cs="宋体"/>
                <w:kern w:val="0"/>
                <w:szCs w:val="21"/>
                <w:highlight w:val="none"/>
              </w:rPr>
              <w:t>重庆国际物流枢纽园区建设有限责任公司2024年度超短期融资券承销商选聘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93" w:type="dxa"/>
            <w:vAlign w:val="center"/>
          </w:tcPr>
          <w:p>
            <w:pPr>
              <w:snapToGrid w:val="0"/>
              <w:spacing w:line="360" w:lineRule="exact"/>
              <w:jc w:val="center"/>
              <w:rPr>
                <w:rFonts w:ascii="宋体" w:hAnsi="宋体" w:cs="宋体"/>
                <w:kern w:val="0"/>
                <w:szCs w:val="21"/>
                <w:highlight w:val="none"/>
              </w:rPr>
            </w:pPr>
            <w:r>
              <w:rPr>
                <w:rFonts w:hint="eastAsia" w:ascii="宋体" w:hAnsi="宋体" w:cs="宋体"/>
                <w:kern w:val="0"/>
                <w:szCs w:val="21"/>
                <w:highlight w:val="none"/>
              </w:rPr>
              <w:t>1.1.3</w:t>
            </w:r>
          </w:p>
        </w:tc>
        <w:tc>
          <w:tcPr>
            <w:tcW w:w="1843" w:type="dxa"/>
            <w:vAlign w:val="center"/>
          </w:tcPr>
          <w:p>
            <w:pPr>
              <w:snapToGrid w:val="0"/>
              <w:spacing w:line="360" w:lineRule="exact"/>
              <w:jc w:val="center"/>
              <w:rPr>
                <w:rFonts w:ascii="宋体" w:hAnsi="宋体" w:cs="宋体"/>
                <w:kern w:val="0"/>
                <w:szCs w:val="21"/>
                <w:highlight w:val="none"/>
              </w:rPr>
            </w:pPr>
            <w:r>
              <w:rPr>
                <w:rFonts w:hint="eastAsia" w:ascii="宋体" w:hAnsi="宋体" w:cs="宋体"/>
                <w:kern w:val="0"/>
                <w:szCs w:val="21"/>
                <w:highlight w:val="none"/>
              </w:rPr>
              <w:t>项目地点</w:t>
            </w:r>
          </w:p>
        </w:tc>
        <w:tc>
          <w:tcPr>
            <w:tcW w:w="5811" w:type="dxa"/>
            <w:vAlign w:val="center"/>
          </w:tcPr>
          <w:p>
            <w:pPr>
              <w:rPr>
                <w:rFonts w:ascii="宋体" w:hAnsi="宋体" w:cs="宋体"/>
                <w:bCs/>
                <w:kern w:val="0"/>
                <w:szCs w:val="21"/>
                <w:highlight w:val="none"/>
              </w:rPr>
            </w:pPr>
            <w:r>
              <w:rPr>
                <w:rFonts w:hint="eastAsia"/>
                <w:highlight w:val="none"/>
              </w:rPr>
              <w:t>重庆市沙坪坝区土主镇享通路39号黄金湾智谷B1栋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93" w:type="dxa"/>
            <w:vAlign w:val="center"/>
          </w:tcPr>
          <w:p>
            <w:pPr>
              <w:snapToGrid w:val="0"/>
              <w:spacing w:line="360" w:lineRule="exact"/>
              <w:jc w:val="center"/>
              <w:rPr>
                <w:rFonts w:ascii="宋体" w:hAnsi="宋体" w:cs="宋体"/>
                <w:kern w:val="0"/>
                <w:szCs w:val="21"/>
                <w:highlight w:val="none"/>
              </w:rPr>
            </w:pPr>
            <w:r>
              <w:rPr>
                <w:rFonts w:hint="eastAsia" w:ascii="宋体" w:hAnsi="宋体" w:cs="宋体"/>
                <w:kern w:val="0"/>
                <w:szCs w:val="21"/>
                <w:highlight w:val="none"/>
              </w:rPr>
              <w:t>1.1.4</w:t>
            </w:r>
          </w:p>
        </w:tc>
        <w:tc>
          <w:tcPr>
            <w:tcW w:w="1843" w:type="dxa"/>
            <w:vAlign w:val="center"/>
          </w:tcPr>
          <w:p>
            <w:pPr>
              <w:snapToGrid w:val="0"/>
              <w:spacing w:line="360" w:lineRule="exact"/>
              <w:jc w:val="center"/>
              <w:rPr>
                <w:rFonts w:ascii="宋体" w:hAnsi="宋体" w:cs="宋体"/>
                <w:kern w:val="0"/>
                <w:szCs w:val="21"/>
                <w:highlight w:val="none"/>
              </w:rPr>
            </w:pPr>
            <w:r>
              <w:rPr>
                <w:rFonts w:hint="eastAsia" w:ascii="宋体" w:hAnsi="宋体" w:cs="宋体"/>
                <w:bCs/>
                <w:kern w:val="0"/>
                <w:szCs w:val="21"/>
                <w:highlight w:val="none"/>
              </w:rPr>
              <w:t>项目概况</w:t>
            </w:r>
          </w:p>
        </w:tc>
        <w:tc>
          <w:tcPr>
            <w:tcW w:w="5811" w:type="dxa"/>
            <w:vAlign w:val="center"/>
          </w:tcPr>
          <w:p>
            <w:pPr>
              <w:spacing w:line="440" w:lineRule="exact"/>
              <w:rPr>
                <w:rFonts w:ascii="宋体" w:hAnsi="宋体" w:cs="宋体"/>
                <w:snapToGrid w:val="0"/>
                <w:szCs w:val="21"/>
                <w:highlight w:val="none"/>
              </w:rPr>
            </w:pPr>
            <w:r>
              <w:rPr>
                <w:rFonts w:hint="eastAsia" w:ascii="宋体" w:hAnsi="宋体" w:cs="宋体"/>
                <w:kern w:val="0"/>
                <w:szCs w:val="21"/>
                <w:highlight w:val="none"/>
              </w:rPr>
              <w:t>向中国银行间市场交易商协会申报超短期融资券23.8亿元，期限拟发行270天（具体发行规模和期限由发行人根据发行时的实际需要确定），本次拟申请发行债券所募集资金将用于偿还债务融资工具本息等符合监管要求的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93" w:type="dxa"/>
            <w:vAlign w:val="center"/>
          </w:tcPr>
          <w:p>
            <w:pPr>
              <w:snapToGrid w:val="0"/>
              <w:spacing w:line="360" w:lineRule="exact"/>
              <w:jc w:val="center"/>
              <w:rPr>
                <w:rFonts w:ascii="宋体" w:hAnsi="宋体" w:cs="宋体"/>
                <w:kern w:val="0"/>
                <w:szCs w:val="21"/>
                <w:highlight w:val="none"/>
              </w:rPr>
            </w:pPr>
            <w:r>
              <w:rPr>
                <w:rFonts w:hint="eastAsia" w:ascii="宋体" w:hAnsi="宋体" w:cs="宋体"/>
                <w:kern w:val="0"/>
                <w:szCs w:val="21"/>
                <w:highlight w:val="none"/>
              </w:rPr>
              <w:t>1.2</w:t>
            </w:r>
          </w:p>
        </w:tc>
        <w:tc>
          <w:tcPr>
            <w:tcW w:w="1843" w:type="dxa"/>
            <w:vAlign w:val="center"/>
          </w:tcPr>
          <w:p>
            <w:pPr>
              <w:snapToGrid w:val="0"/>
              <w:spacing w:line="360" w:lineRule="exact"/>
              <w:jc w:val="center"/>
              <w:rPr>
                <w:rFonts w:ascii="宋体" w:hAnsi="宋体"/>
                <w:szCs w:val="21"/>
                <w:highlight w:val="none"/>
              </w:rPr>
            </w:pPr>
            <w:r>
              <w:rPr>
                <w:rFonts w:hint="eastAsia" w:ascii="宋体" w:hAnsi="宋体"/>
                <w:szCs w:val="21"/>
                <w:highlight w:val="none"/>
              </w:rPr>
              <w:t>招标范围</w:t>
            </w:r>
          </w:p>
        </w:tc>
        <w:tc>
          <w:tcPr>
            <w:tcW w:w="5811" w:type="dxa"/>
            <w:vAlign w:val="center"/>
          </w:tcPr>
          <w:p>
            <w:pPr>
              <w:spacing w:line="400" w:lineRule="exact"/>
              <w:rPr>
                <w:rFonts w:ascii="宋体" w:hAnsi="宋体" w:cs="宋体"/>
                <w:szCs w:val="21"/>
                <w:highlight w:val="none"/>
              </w:rPr>
            </w:pPr>
            <w:r>
              <w:rPr>
                <w:rFonts w:hint="eastAsia" w:ascii="宋体" w:hAnsi="宋体" w:cs="宋体"/>
                <w:kern w:val="0"/>
                <w:szCs w:val="21"/>
                <w:highlight w:val="none"/>
              </w:rPr>
              <w:t>负责组织本次债券申报材料的编制，配合发行人进行债券报批；负责协调各相关中介机构开展与本次债券申报、发行相关的各项工作；负责沟通协调债券审批部门直至获得注册通知书；负责承销发行本次债券，确保发行成本；负责本次债券存续期相关服务工作；负责其他债券申报和发行工作中的相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93" w:type="dxa"/>
            <w:vAlign w:val="center"/>
          </w:tcPr>
          <w:p>
            <w:pPr>
              <w:snapToGrid w:val="0"/>
              <w:spacing w:line="360" w:lineRule="exact"/>
              <w:jc w:val="center"/>
              <w:rPr>
                <w:rFonts w:ascii="宋体" w:hAnsi="宋体" w:cs="宋体"/>
                <w:kern w:val="0"/>
                <w:szCs w:val="21"/>
                <w:highlight w:val="none"/>
              </w:rPr>
            </w:pPr>
            <w:r>
              <w:rPr>
                <w:rFonts w:hint="eastAsia" w:ascii="宋体" w:hAnsi="宋体" w:cs="宋体"/>
                <w:kern w:val="0"/>
                <w:szCs w:val="21"/>
                <w:highlight w:val="none"/>
              </w:rPr>
              <w:t>1.3</w:t>
            </w:r>
          </w:p>
        </w:tc>
        <w:tc>
          <w:tcPr>
            <w:tcW w:w="1843" w:type="dxa"/>
            <w:vAlign w:val="center"/>
          </w:tcPr>
          <w:p>
            <w:pPr>
              <w:snapToGrid w:val="0"/>
              <w:spacing w:line="320" w:lineRule="exact"/>
              <w:jc w:val="center"/>
              <w:rPr>
                <w:rFonts w:ascii="宋体" w:hAnsi="宋体" w:cs="宋体"/>
                <w:kern w:val="0"/>
                <w:szCs w:val="21"/>
                <w:highlight w:val="none"/>
              </w:rPr>
            </w:pPr>
            <w:r>
              <w:rPr>
                <w:kern w:val="0"/>
                <w:szCs w:val="21"/>
                <w:highlight w:val="none"/>
              </w:rPr>
              <w:t>是否接受联合体投标</w:t>
            </w:r>
          </w:p>
        </w:tc>
        <w:tc>
          <w:tcPr>
            <w:tcW w:w="5811" w:type="dxa"/>
            <w:vAlign w:val="center"/>
          </w:tcPr>
          <w:p>
            <w:pPr>
              <w:spacing w:line="320" w:lineRule="exact"/>
              <w:rPr>
                <w:rFonts w:ascii="宋体" w:hAnsi="宋体" w:cs="宋体"/>
                <w:kern w:val="0"/>
                <w:szCs w:val="21"/>
                <w:highlight w:val="none"/>
              </w:rPr>
            </w:pPr>
            <w:r>
              <w:rPr>
                <w:rFonts w:hint="eastAsia" w:ascii="宋体" w:hAnsi="宋体" w:cs="宋体"/>
                <w:kern w:val="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993" w:type="dxa"/>
            <w:vAlign w:val="center"/>
          </w:tcPr>
          <w:p>
            <w:pPr>
              <w:snapToGrid w:val="0"/>
              <w:spacing w:line="360" w:lineRule="exact"/>
              <w:jc w:val="center"/>
              <w:rPr>
                <w:rFonts w:ascii="宋体" w:hAnsi="宋体" w:cs="宋体"/>
                <w:kern w:val="0"/>
                <w:szCs w:val="21"/>
                <w:highlight w:val="none"/>
              </w:rPr>
            </w:pPr>
            <w:r>
              <w:rPr>
                <w:rFonts w:hint="eastAsia" w:ascii="宋体" w:hAnsi="宋体" w:cs="宋体"/>
                <w:kern w:val="0"/>
                <w:szCs w:val="21"/>
                <w:highlight w:val="none"/>
              </w:rPr>
              <w:t>1.4</w:t>
            </w:r>
          </w:p>
        </w:tc>
        <w:tc>
          <w:tcPr>
            <w:tcW w:w="1843" w:type="dxa"/>
            <w:vAlign w:val="center"/>
          </w:tcPr>
          <w:p>
            <w:pPr>
              <w:snapToGrid w:val="0"/>
              <w:spacing w:line="360" w:lineRule="exact"/>
              <w:jc w:val="center"/>
              <w:rPr>
                <w:rFonts w:ascii="宋体" w:hAnsi="宋体" w:cs="宋体"/>
                <w:szCs w:val="21"/>
                <w:highlight w:val="none"/>
              </w:rPr>
            </w:pPr>
            <w:r>
              <w:rPr>
                <w:rFonts w:hint="eastAsia" w:ascii="宋体" w:hAnsi="宋体" w:cs="宋体"/>
                <w:szCs w:val="21"/>
                <w:highlight w:val="none"/>
              </w:rPr>
              <w:t>投标人资质条件、能力和信誉</w:t>
            </w:r>
          </w:p>
        </w:tc>
        <w:tc>
          <w:tcPr>
            <w:tcW w:w="5811" w:type="dxa"/>
            <w:vAlign w:val="center"/>
          </w:tcPr>
          <w:p>
            <w:pPr>
              <w:autoSpaceDE w:val="0"/>
              <w:autoSpaceDN w:val="0"/>
              <w:adjustRightIn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1.营业执照：具有工商行政管理部门颁发的有效营业执照（须提供最新的有效营业执照副本复印件）。</w:t>
            </w:r>
          </w:p>
          <w:p>
            <w:pPr>
              <w:spacing w:line="400" w:lineRule="exact"/>
              <w:ind w:firstLine="420" w:firstLineChars="200"/>
              <w:rPr>
                <w:rFonts w:ascii="宋体" w:hAnsi="宋体"/>
                <w:snapToGrid w:val="0"/>
                <w:szCs w:val="21"/>
                <w:highlight w:val="none"/>
              </w:rPr>
            </w:pPr>
            <w:r>
              <w:rPr>
                <w:rFonts w:hint="eastAsia" w:ascii="宋体" w:hAnsi="宋体" w:cs="宋体"/>
                <w:kern w:val="0"/>
                <w:szCs w:val="21"/>
                <w:highlight w:val="none"/>
              </w:rPr>
              <w:t>2.提供证明具备</w:t>
            </w:r>
            <w:r>
              <w:rPr>
                <w:rFonts w:hint="eastAsia" w:ascii="宋体" w:hAnsi="宋体"/>
                <w:snapToGrid w:val="0"/>
                <w:szCs w:val="21"/>
                <w:highlight w:val="none"/>
              </w:rPr>
              <w:t>非金融企业债务融资工具一般主承销商资格有效资质的复印件。</w:t>
            </w:r>
          </w:p>
          <w:p>
            <w:pPr>
              <w:autoSpaceDE w:val="0"/>
              <w:autoSpaceDN w:val="0"/>
              <w:adjustRightIn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3.提供</w:t>
            </w:r>
            <w:r>
              <w:rPr>
                <w:rFonts w:hint="eastAsia" w:ascii="宋体" w:hAnsi="宋体"/>
                <w:snapToGrid w:val="0"/>
                <w:szCs w:val="21"/>
                <w:highlight w:val="none"/>
              </w:rPr>
              <w:t>对沙坪坝区属平台企业发行的银行间债券市场非金融企业债务融资工具担任过承销商记录的盖章说明文件。</w:t>
            </w:r>
          </w:p>
          <w:p>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4.提供本次债券承销服务工作方案，至少包括发行工作时间安排、审批时间预计、承销费及其他相关费用报价（其中，发债律师费用是否由金融机构承担须在方案中说明清楚），债券包销方案及发行计划，投标人安排的本次债券发行团队构成，对后续服务的安排、承诺及支持程度。</w:t>
            </w:r>
          </w:p>
          <w:p>
            <w:pPr>
              <w:autoSpaceDE w:val="0"/>
              <w:autoSpaceDN w:val="0"/>
              <w:adjustRightInd w:val="0"/>
              <w:spacing w:line="400" w:lineRule="exact"/>
              <w:ind w:firstLine="420" w:firstLineChars="200"/>
              <w:rPr>
                <w:rFonts w:ascii="宋体" w:hAnsi="宋体" w:cs="宋体"/>
                <w:kern w:val="0"/>
                <w:szCs w:val="21"/>
                <w:highlight w:val="none"/>
              </w:rPr>
            </w:pPr>
            <w:r>
              <w:rPr>
                <w:rFonts w:ascii="宋体" w:hAnsi="宋体" w:cs="宋体"/>
                <w:kern w:val="0"/>
                <w:szCs w:val="21"/>
                <w:highlight w:val="none"/>
              </w:rPr>
              <w:t>5.</w:t>
            </w:r>
            <w:r>
              <w:rPr>
                <w:rFonts w:hint="eastAsia" w:ascii="宋体" w:hAnsi="宋体" w:cs="宋体"/>
                <w:kern w:val="0"/>
                <w:szCs w:val="21"/>
                <w:highlight w:val="none"/>
              </w:rPr>
              <w:t>提供由投标人自行拟定的不存在投标人资格要求中负面情形（如：</w:t>
            </w:r>
            <w:r>
              <w:rPr>
                <w:rFonts w:hint="eastAsia" w:ascii="宋体" w:hAnsi="宋体"/>
                <w:snapToGrid w:val="0"/>
                <w:szCs w:val="21"/>
                <w:highlight w:val="none"/>
              </w:rPr>
              <w:t>近三年在经</w:t>
            </w:r>
            <w:r>
              <w:rPr>
                <w:rFonts w:hint="eastAsia" w:ascii="宋体" w:hAnsi="宋体" w:cs="宋体"/>
                <w:kern w:val="0"/>
                <w:szCs w:val="21"/>
                <w:highlight w:val="none"/>
              </w:rPr>
              <w:t>营活动中没有重大违法记录或失信记录；没有受到过监管部门严重行政处罚并暂停债券发行相关业务，报名或参加比选时仍在处罚期内等）的</w:t>
            </w:r>
            <w:r>
              <w:rPr>
                <w:rFonts w:hint="eastAsia" w:ascii="宋体" w:hAnsi="宋体"/>
                <w:snapToGrid w:val="0"/>
                <w:szCs w:val="21"/>
                <w:highlight w:val="none"/>
              </w:rPr>
              <w:t>盖章说明文件。</w:t>
            </w:r>
          </w:p>
          <w:p>
            <w:pPr>
              <w:pStyle w:val="4"/>
              <w:spacing w:line="440" w:lineRule="exact"/>
              <w:ind w:firstLine="420" w:firstLineChars="200"/>
              <w:rPr>
                <w:highlight w:val="none"/>
              </w:rPr>
            </w:pPr>
            <w:r>
              <w:rPr>
                <w:rFonts w:ascii="宋体" w:hAnsi="宋体" w:eastAsia="宋体" w:cs="Times New Roman"/>
                <w:b w:val="0"/>
                <w:snapToGrid w:val="0"/>
                <w:kern w:val="2"/>
                <w:sz w:val="21"/>
                <w:szCs w:val="21"/>
                <w:highlight w:val="none"/>
              </w:rPr>
              <w:t>6.</w:t>
            </w:r>
            <w:r>
              <w:rPr>
                <w:rFonts w:hint="eastAsia" w:ascii="宋体" w:hAnsi="宋体" w:eastAsia="宋体" w:cs="宋体"/>
                <w:b w:val="0"/>
                <w:sz w:val="21"/>
                <w:szCs w:val="21"/>
                <w:highlight w:val="none"/>
              </w:rPr>
              <w:t>须提供同意以下事项的盖章承诺：“本金融机构承诺，本金融机构作为主承销商愿对本次债券承担余额包销责任，在与发行人就发行窗口及发行利率区间达成一致的前提下，按照承销协议签订的余额包销比例对本次债券承担余额包销责任；承销费率原则为按年支付；本次债券发行为信用发行；</w:t>
            </w:r>
            <w:r>
              <w:rPr>
                <w:rFonts w:hint="eastAsia" w:ascii="宋体" w:hAnsi="宋体" w:eastAsia="宋体" w:cs="宋体"/>
                <w:b w:val="0"/>
                <w:kern w:val="2"/>
                <w:sz w:val="21"/>
                <w:szCs w:val="21"/>
                <w:highlight w:val="none"/>
              </w:rPr>
              <w:t>若本金融机构中标，后续确因发债工作需要自行邀请其他金融机构加入联合承销工作组，须经发行人同意，并由</w:t>
            </w:r>
            <w:r>
              <w:rPr>
                <w:rFonts w:hint="eastAsia" w:ascii="宋体" w:hAnsi="宋体" w:eastAsia="宋体" w:cs="宋体"/>
                <w:b w:val="0"/>
                <w:kern w:val="2"/>
                <w:sz w:val="21"/>
                <w:szCs w:val="21"/>
                <w:highlight w:val="none"/>
                <w:lang w:val="en-US" w:eastAsia="zh-CN"/>
              </w:rPr>
              <w:t>本</w:t>
            </w:r>
            <w:r>
              <w:rPr>
                <w:rFonts w:hint="eastAsia" w:ascii="宋体" w:hAnsi="宋体" w:eastAsia="宋体" w:cs="宋体"/>
                <w:b w:val="0"/>
                <w:kern w:val="2"/>
                <w:sz w:val="21"/>
                <w:szCs w:val="21"/>
                <w:highlight w:val="none"/>
              </w:rPr>
              <w:t>金融机构自行承担支付给其他金融机构的承销费用。</w:t>
            </w:r>
          </w:p>
          <w:p>
            <w:pPr>
              <w:pStyle w:val="4"/>
              <w:spacing w:line="440" w:lineRule="exact"/>
              <w:ind w:firstLine="420" w:firstLineChars="200"/>
              <w:rPr>
                <w:rFonts w:ascii="宋体" w:hAnsi="宋体" w:eastAsia="宋体" w:cs="Times New Roman"/>
                <w:b w:val="0"/>
                <w:snapToGrid w:val="0"/>
                <w:kern w:val="2"/>
                <w:sz w:val="21"/>
                <w:szCs w:val="21"/>
                <w:highlight w:val="none"/>
              </w:rPr>
            </w:pPr>
            <w:r>
              <w:rPr>
                <w:rFonts w:hint="eastAsia" w:ascii="宋体" w:hAnsi="宋体" w:eastAsia="宋体" w:cs="Times New Roman"/>
                <w:b w:val="0"/>
                <w:snapToGrid w:val="0"/>
                <w:kern w:val="2"/>
                <w:sz w:val="21"/>
                <w:szCs w:val="21"/>
                <w:highlight w:val="none"/>
              </w:rPr>
              <w:t>7.其他有利于投标人加分的印证材料。</w:t>
            </w:r>
          </w:p>
          <w:p>
            <w:pPr>
              <w:autoSpaceDE w:val="0"/>
              <w:autoSpaceDN w:val="0"/>
              <w:adjustRightInd w:val="0"/>
              <w:spacing w:line="400" w:lineRule="exact"/>
              <w:ind w:firstLine="420" w:firstLineChars="200"/>
              <w:rPr>
                <w:rFonts w:ascii="宋体" w:hAnsi="宋体"/>
                <w:highlight w:val="none"/>
              </w:rPr>
            </w:pPr>
            <w:r>
              <w:rPr>
                <w:rFonts w:hint="eastAsia" w:ascii="宋体" w:hAnsi="宋体" w:cs="宋体"/>
                <w:kern w:val="0"/>
                <w:szCs w:val="21"/>
                <w:highlight w:val="none"/>
              </w:rPr>
              <w:t>8.本次比选所提供的相关资料均应加盖企业公章，参选人须对所提供材料的真实有效性承担法律责任。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pPr>
              <w:snapToGrid w:val="0"/>
              <w:spacing w:line="360" w:lineRule="exact"/>
              <w:jc w:val="center"/>
              <w:rPr>
                <w:rFonts w:ascii="宋体" w:hAnsi="宋体" w:cs="宋体"/>
                <w:kern w:val="0"/>
                <w:szCs w:val="21"/>
                <w:highlight w:val="none"/>
              </w:rPr>
            </w:pPr>
            <w:r>
              <w:rPr>
                <w:rFonts w:hint="eastAsia" w:ascii="宋体" w:hAnsi="宋体" w:cs="宋体"/>
                <w:kern w:val="0"/>
                <w:szCs w:val="21"/>
                <w:highlight w:val="none"/>
              </w:rPr>
              <w:t>2.1</w:t>
            </w:r>
          </w:p>
        </w:tc>
        <w:tc>
          <w:tcPr>
            <w:tcW w:w="1843" w:type="dxa"/>
            <w:vAlign w:val="center"/>
          </w:tcPr>
          <w:p>
            <w:pPr>
              <w:snapToGrid w:val="0"/>
              <w:spacing w:line="360" w:lineRule="exact"/>
              <w:jc w:val="center"/>
              <w:rPr>
                <w:rFonts w:ascii="宋体" w:hAnsi="宋体" w:cs="宋体"/>
                <w:kern w:val="0"/>
                <w:szCs w:val="21"/>
                <w:highlight w:val="none"/>
              </w:rPr>
            </w:pPr>
            <w:r>
              <w:rPr>
                <w:rFonts w:hint="eastAsia" w:ascii="宋体" w:hAnsi="宋体" w:cs="宋体"/>
                <w:kern w:val="0"/>
                <w:szCs w:val="21"/>
                <w:highlight w:val="none"/>
              </w:rPr>
              <w:t>构成招标文件的其他材料</w:t>
            </w:r>
          </w:p>
        </w:tc>
        <w:tc>
          <w:tcPr>
            <w:tcW w:w="5811" w:type="dxa"/>
            <w:vAlign w:val="center"/>
          </w:tcPr>
          <w:p>
            <w:pPr>
              <w:snapToGrid w:val="0"/>
              <w:spacing w:line="360" w:lineRule="exact"/>
              <w:rPr>
                <w:rFonts w:ascii="宋体" w:hAnsi="宋体" w:cs="宋体"/>
                <w:szCs w:val="21"/>
                <w:highlight w:val="none"/>
              </w:rPr>
            </w:pPr>
            <w:r>
              <w:rPr>
                <w:rFonts w:hint="eastAsia" w:ascii="宋体" w:hAnsi="宋体" w:cs="宋体"/>
                <w:szCs w:val="21"/>
                <w:highlight w:val="none"/>
              </w:rPr>
              <w:t>随</w:t>
            </w:r>
            <w:r>
              <w:rPr>
                <w:rFonts w:ascii="宋体" w:hAnsi="宋体" w:cs="宋体"/>
                <w:szCs w:val="21"/>
                <w:highlight w:val="none"/>
              </w:rPr>
              <w:t>招标文件一并发布的</w:t>
            </w:r>
            <w:r>
              <w:rPr>
                <w:rFonts w:hint="eastAsia" w:ascii="宋体" w:hAnsi="宋体" w:cs="宋体"/>
                <w:szCs w:val="21"/>
                <w:highlight w:val="none"/>
              </w:rPr>
              <w:t>资料、招标人发出的答疑、补遗等。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3.1</w:t>
            </w:r>
          </w:p>
        </w:tc>
        <w:tc>
          <w:tcPr>
            <w:tcW w:w="1843" w:type="dxa"/>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投标有效期</w:t>
            </w:r>
          </w:p>
        </w:tc>
        <w:tc>
          <w:tcPr>
            <w:tcW w:w="5811" w:type="dxa"/>
            <w:vAlign w:val="center"/>
          </w:tcPr>
          <w:p>
            <w:pPr>
              <w:snapToGrid w:val="0"/>
              <w:spacing w:line="440" w:lineRule="exact"/>
              <w:ind w:firstLine="420" w:firstLineChars="200"/>
              <w:rPr>
                <w:rFonts w:ascii="宋体" w:hAnsi="宋体" w:cs="宋体"/>
                <w:szCs w:val="21"/>
                <w:highlight w:val="none"/>
                <w:u w:val="single"/>
              </w:rPr>
            </w:pPr>
            <w:r>
              <w:rPr>
                <w:rFonts w:hint="eastAsia" w:ascii="宋体" w:hAnsi="宋体" w:cs="宋体"/>
                <w:szCs w:val="21"/>
                <w:highlight w:val="none"/>
                <w:u w:val="single"/>
              </w:rPr>
              <w:t>90</w:t>
            </w:r>
            <w:r>
              <w:rPr>
                <w:rFonts w:hint="eastAsia" w:ascii="宋体" w:hAnsi="宋体" w:cs="宋体"/>
                <w:szCs w:val="21"/>
                <w:highlight w:val="none"/>
              </w:rPr>
              <w:t>日历天（从提交投标文件截止日起计算）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4.1</w:t>
            </w:r>
          </w:p>
        </w:tc>
        <w:tc>
          <w:tcPr>
            <w:tcW w:w="1843" w:type="dxa"/>
            <w:vAlign w:val="center"/>
          </w:tcPr>
          <w:p>
            <w:pPr>
              <w:pStyle w:val="71"/>
              <w:spacing w:line="360" w:lineRule="auto"/>
              <w:jc w:val="center"/>
              <w:rPr>
                <w:rFonts w:cs="宋体"/>
                <w:szCs w:val="21"/>
                <w:highlight w:val="none"/>
              </w:rPr>
            </w:pPr>
            <w:r>
              <w:rPr>
                <w:rFonts w:hint="eastAsia" w:cs="宋体"/>
                <w:sz w:val="21"/>
                <w:szCs w:val="21"/>
                <w:highlight w:val="none"/>
              </w:rPr>
              <w:t>资格审查资料</w:t>
            </w:r>
          </w:p>
        </w:tc>
        <w:tc>
          <w:tcPr>
            <w:tcW w:w="5811" w:type="dxa"/>
            <w:vAlign w:val="center"/>
          </w:tcPr>
          <w:p>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本须知1.4项规定提供的资料均需完整。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5.1.1</w:t>
            </w:r>
          </w:p>
        </w:tc>
        <w:tc>
          <w:tcPr>
            <w:tcW w:w="1843" w:type="dxa"/>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投标文件的份数</w:t>
            </w:r>
          </w:p>
        </w:tc>
        <w:tc>
          <w:tcPr>
            <w:tcW w:w="5811" w:type="dxa"/>
            <w:vAlign w:val="center"/>
          </w:tcPr>
          <w:p>
            <w:pPr>
              <w:autoSpaceDE w:val="0"/>
              <w:autoSpaceDN w:val="0"/>
              <w:adjustRightInd w:val="0"/>
              <w:spacing w:line="440" w:lineRule="exact"/>
              <w:ind w:firstLine="420" w:firstLineChars="200"/>
              <w:rPr>
                <w:highlight w:val="none"/>
              </w:rPr>
            </w:pPr>
            <w:r>
              <w:rPr>
                <w:rFonts w:hint="eastAsia"/>
                <w:highlight w:val="none"/>
              </w:rPr>
              <w:t>1.投标文件由投标函部分组成；一式1份。</w:t>
            </w:r>
          </w:p>
          <w:p>
            <w:pPr>
              <w:autoSpaceDE w:val="0"/>
              <w:autoSpaceDN w:val="0"/>
              <w:adjustRightInd w:val="0"/>
              <w:spacing w:line="440" w:lineRule="exact"/>
              <w:ind w:firstLine="420" w:firstLineChars="200"/>
              <w:rPr>
                <w:rFonts w:eastAsia="仿宋_GB2312"/>
                <w:highlight w:val="none"/>
              </w:rPr>
            </w:pPr>
            <w:r>
              <w:rPr>
                <w:rFonts w:hint="eastAsia"/>
                <w:highlight w:val="none"/>
              </w:rPr>
              <w:t>2.</w:t>
            </w:r>
            <w:r>
              <w:rPr>
                <w:highlight w:val="none"/>
              </w:rPr>
              <w:t>资格审查资料：一式1份</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5.1.2</w:t>
            </w:r>
          </w:p>
        </w:tc>
        <w:tc>
          <w:tcPr>
            <w:tcW w:w="1843" w:type="dxa"/>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投标文件的密封</w:t>
            </w:r>
          </w:p>
        </w:tc>
        <w:tc>
          <w:tcPr>
            <w:tcW w:w="5811" w:type="dxa"/>
            <w:vAlign w:val="center"/>
          </w:tcPr>
          <w:p>
            <w:pPr>
              <w:spacing w:line="440" w:lineRule="exact"/>
              <w:ind w:firstLine="422" w:firstLineChars="201"/>
              <w:rPr>
                <w:rFonts w:ascii="宋体" w:hAnsi="宋体" w:cs="宋体"/>
                <w:szCs w:val="21"/>
                <w:highlight w:val="none"/>
              </w:rPr>
            </w:pPr>
            <w:r>
              <w:rPr>
                <w:rFonts w:hint="eastAsia" w:ascii="宋体" w:hAnsi="宋体" w:cs="宋体"/>
                <w:szCs w:val="21"/>
                <w:highlight w:val="none"/>
              </w:rPr>
              <w:t>1.投标文件袋由投标人自行制作，但必须在封套上注明 “投标文件”大袋，密封并在袋上加盖投标人单位公章。</w:t>
            </w:r>
          </w:p>
          <w:p>
            <w:pPr>
              <w:autoSpaceDE w:val="0"/>
              <w:autoSpaceDN w:val="0"/>
              <w:adjustRightInd w:val="0"/>
              <w:spacing w:line="440" w:lineRule="exact"/>
              <w:ind w:firstLine="420" w:firstLineChars="200"/>
              <w:rPr>
                <w:rFonts w:ascii="宋体" w:hAnsi="宋体" w:cs="宋体"/>
                <w:szCs w:val="21"/>
                <w:highlight w:val="none"/>
              </w:rPr>
            </w:pPr>
            <w:r>
              <w:rPr>
                <w:rFonts w:hint="eastAsia" w:ascii="宋体" w:hAnsi="宋体" w:cs="宋体"/>
                <w:szCs w:val="21"/>
                <w:highlight w:val="none"/>
              </w:rPr>
              <w:t>2.如果投标文件没有按上述规定密封，该投标文件将被拒绝接收。</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3.如若资料较厚，可以增加相应的袋子，标明序号即可。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5.1.3</w:t>
            </w:r>
          </w:p>
        </w:tc>
        <w:tc>
          <w:tcPr>
            <w:tcW w:w="1843" w:type="dxa"/>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封套上写明</w:t>
            </w:r>
          </w:p>
        </w:tc>
        <w:tc>
          <w:tcPr>
            <w:tcW w:w="5811" w:type="dxa"/>
            <w:vAlign w:val="center"/>
          </w:tcPr>
          <w:p>
            <w:pPr>
              <w:snapToGrid w:val="0"/>
              <w:spacing w:line="440" w:lineRule="exact"/>
              <w:rPr>
                <w:rFonts w:ascii="宋体" w:hAnsi="宋体" w:cs="宋体"/>
                <w:kern w:val="0"/>
                <w:szCs w:val="21"/>
                <w:highlight w:val="none"/>
              </w:rPr>
            </w:pPr>
            <w:bookmarkStart w:id="23" w:name="_Hlt198772975"/>
            <w:bookmarkEnd w:id="23"/>
            <w:r>
              <w:rPr>
                <w:rFonts w:hint="eastAsia" w:ascii="宋体" w:hAnsi="宋体" w:cs="宋体"/>
                <w:kern w:val="0"/>
                <w:szCs w:val="21"/>
                <w:highlight w:val="none"/>
              </w:rPr>
              <w:t>应在“投标文件”袋封套上写明如下内容：重庆国际物流枢纽园区建设有限责任公司2024年度超短期融资券承销商选聘</w:t>
            </w:r>
          </w:p>
          <w:p>
            <w:pPr>
              <w:snapToGrid w:val="0"/>
              <w:spacing w:line="440" w:lineRule="exact"/>
              <w:rPr>
                <w:rFonts w:ascii="宋体" w:hAnsi="宋体" w:cs="宋体"/>
                <w:szCs w:val="21"/>
                <w:highlight w:val="none"/>
              </w:rPr>
            </w:pPr>
            <w:r>
              <w:rPr>
                <w:rFonts w:hint="eastAsia" w:ascii="宋体" w:hAnsi="宋体" w:cs="宋体"/>
                <w:color w:val="C00000"/>
                <w:kern w:val="0"/>
                <w:szCs w:val="21"/>
                <w:highlight w:val="none"/>
              </w:rPr>
              <w:t>在</w:t>
            </w:r>
            <w:r>
              <w:rPr>
                <w:rFonts w:hint="eastAsia" w:ascii="宋体" w:hAnsi="宋体" w:cs="宋体"/>
                <w:color w:val="C00000"/>
                <w:kern w:val="0"/>
                <w:szCs w:val="21"/>
                <w:highlight w:val="none"/>
                <w:u w:val="single"/>
              </w:rPr>
              <w:t>2024</w:t>
            </w:r>
            <w:r>
              <w:rPr>
                <w:rFonts w:hint="eastAsia" w:ascii="宋体" w:hAnsi="宋体" w:cs="宋体"/>
                <w:color w:val="C00000"/>
                <w:kern w:val="0"/>
                <w:szCs w:val="21"/>
                <w:highlight w:val="none"/>
              </w:rPr>
              <w:t>年</w:t>
            </w:r>
            <w:r>
              <w:rPr>
                <w:rFonts w:ascii="宋体" w:hAnsi="宋体" w:cs="宋体"/>
                <w:color w:val="C00000"/>
                <w:kern w:val="0"/>
                <w:szCs w:val="21"/>
                <w:highlight w:val="none"/>
                <w:u w:val="single"/>
              </w:rPr>
              <w:t xml:space="preserve"> </w:t>
            </w:r>
            <w:r>
              <w:rPr>
                <w:rFonts w:hint="eastAsia" w:ascii="宋体" w:hAnsi="宋体" w:cs="宋体"/>
                <w:color w:val="C00000"/>
                <w:kern w:val="0"/>
                <w:szCs w:val="21"/>
                <w:highlight w:val="none"/>
                <w:u w:val="single"/>
                <w:lang w:val="en-US" w:eastAsia="zh-CN"/>
              </w:rPr>
              <w:t>3</w:t>
            </w:r>
            <w:r>
              <w:rPr>
                <w:rFonts w:ascii="宋体" w:hAnsi="宋体" w:cs="宋体"/>
                <w:color w:val="C00000"/>
                <w:kern w:val="0"/>
                <w:szCs w:val="21"/>
                <w:highlight w:val="none"/>
                <w:u w:val="single"/>
              </w:rPr>
              <w:t xml:space="preserve"> </w:t>
            </w:r>
            <w:r>
              <w:rPr>
                <w:rFonts w:hint="eastAsia" w:ascii="宋体" w:hAnsi="宋体" w:cs="宋体"/>
                <w:color w:val="C00000"/>
                <w:kern w:val="0"/>
                <w:szCs w:val="21"/>
                <w:highlight w:val="none"/>
              </w:rPr>
              <w:t>月</w:t>
            </w:r>
            <w:r>
              <w:rPr>
                <w:rFonts w:hint="eastAsia" w:ascii="宋体" w:hAnsi="宋体" w:cs="宋体"/>
                <w:color w:val="C00000"/>
                <w:kern w:val="0"/>
                <w:szCs w:val="21"/>
                <w:highlight w:val="none"/>
                <w:u w:val="single"/>
              </w:rPr>
              <w:t xml:space="preserve"> </w:t>
            </w:r>
            <w:r>
              <w:rPr>
                <w:rFonts w:hint="eastAsia" w:ascii="宋体" w:hAnsi="宋体" w:cs="宋体"/>
                <w:color w:val="C00000"/>
                <w:kern w:val="0"/>
                <w:szCs w:val="21"/>
                <w:highlight w:val="none"/>
                <w:u w:val="single"/>
                <w:lang w:val="en-US" w:eastAsia="zh-CN"/>
              </w:rPr>
              <w:t>18</w:t>
            </w:r>
            <w:r>
              <w:rPr>
                <w:rFonts w:hint="eastAsia" w:ascii="宋体" w:hAnsi="宋体" w:cs="宋体"/>
                <w:color w:val="C00000"/>
                <w:kern w:val="0"/>
                <w:szCs w:val="21"/>
                <w:highlight w:val="none"/>
                <w:u w:val="single"/>
              </w:rPr>
              <w:t xml:space="preserve"> </w:t>
            </w:r>
            <w:r>
              <w:rPr>
                <w:rFonts w:hint="eastAsia" w:ascii="宋体" w:hAnsi="宋体" w:cs="宋体"/>
                <w:color w:val="C00000"/>
                <w:kern w:val="0"/>
                <w:szCs w:val="21"/>
                <w:highlight w:val="none"/>
              </w:rPr>
              <w:t xml:space="preserve">日 </w:t>
            </w:r>
            <w:r>
              <w:rPr>
                <w:rFonts w:hint="eastAsia" w:ascii="宋体" w:hAnsi="宋体" w:cs="宋体"/>
                <w:color w:val="C00000"/>
                <w:kern w:val="0"/>
                <w:szCs w:val="21"/>
                <w:highlight w:val="none"/>
                <w:u w:val="single"/>
              </w:rPr>
              <w:t xml:space="preserve"> </w:t>
            </w:r>
            <w:r>
              <w:rPr>
                <w:rFonts w:hint="eastAsia" w:ascii="宋体" w:hAnsi="宋体" w:cs="宋体"/>
                <w:color w:val="C00000"/>
                <w:kern w:val="0"/>
                <w:szCs w:val="21"/>
                <w:highlight w:val="none"/>
                <w:u w:val="single"/>
                <w:lang w:val="en-US" w:eastAsia="zh-CN"/>
              </w:rPr>
              <w:t>14</w:t>
            </w:r>
            <w:r>
              <w:rPr>
                <w:rFonts w:hint="eastAsia" w:ascii="宋体" w:hAnsi="宋体" w:cs="宋体"/>
                <w:color w:val="C00000"/>
                <w:kern w:val="0"/>
                <w:szCs w:val="21"/>
                <w:highlight w:val="none"/>
                <w:u w:val="single"/>
              </w:rPr>
              <w:t xml:space="preserve"> </w:t>
            </w:r>
            <w:r>
              <w:rPr>
                <w:rFonts w:hint="eastAsia" w:ascii="宋体" w:hAnsi="宋体" w:cs="宋体"/>
                <w:color w:val="C00000"/>
                <w:kern w:val="0"/>
                <w:szCs w:val="21"/>
                <w:highlight w:val="none"/>
              </w:rPr>
              <w:t xml:space="preserve"> 时</w:t>
            </w:r>
            <w:r>
              <w:rPr>
                <w:rFonts w:hint="eastAsia" w:ascii="宋体" w:hAnsi="宋体" w:cs="宋体"/>
                <w:color w:val="C00000"/>
                <w:kern w:val="0"/>
                <w:szCs w:val="21"/>
                <w:highlight w:val="none"/>
                <w:u w:val="single"/>
              </w:rPr>
              <w:t xml:space="preserve"> </w:t>
            </w:r>
            <w:r>
              <w:rPr>
                <w:rFonts w:hint="eastAsia" w:ascii="宋体" w:hAnsi="宋体" w:cs="宋体"/>
                <w:color w:val="C00000"/>
                <w:kern w:val="0"/>
                <w:szCs w:val="21"/>
                <w:highlight w:val="none"/>
                <w:u w:val="single"/>
                <w:lang w:val="en-US" w:eastAsia="zh-CN"/>
              </w:rPr>
              <w:t>30</w:t>
            </w:r>
            <w:r>
              <w:rPr>
                <w:rFonts w:hint="eastAsia" w:ascii="宋体" w:hAnsi="宋体" w:cs="宋体"/>
                <w:color w:val="C00000"/>
                <w:kern w:val="0"/>
                <w:szCs w:val="21"/>
                <w:highlight w:val="none"/>
                <w:u w:val="single"/>
              </w:rPr>
              <w:t xml:space="preserve"> </w:t>
            </w:r>
            <w:r>
              <w:rPr>
                <w:rFonts w:hint="eastAsia" w:ascii="宋体" w:hAnsi="宋体" w:cs="宋体"/>
                <w:color w:val="C00000"/>
                <w:kern w:val="0"/>
                <w:szCs w:val="21"/>
                <w:highlight w:val="none"/>
              </w:rPr>
              <w:t>分（规定的开标时间）前</w:t>
            </w:r>
            <w:r>
              <w:rPr>
                <w:rFonts w:hint="eastAsia" w:ascii="宋体" w:hAnsi="宋体" w:cs="宋体"/>
                <w:kern w:val="0"/>
                <w:szCs w:val="21"/>
                <w:highlight w:val="none"/>
              </w:rPr>
              <w:t>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5.2.1</w:t>
            </w:r>
          </w:p>
        </w:tc>
        <w:tc>
          <w:tcPr>
            <w:tcW w:w="1843" w:type="dxa"/>
            <w:vAlign w:val="center"/>
          </w:tcPr>
          <w:p>
            <w:pPr>
              <w:snapToGrid w:val="0"/>
              <w:spacing w:line="360" w:lineRule="auto"/>
              <w:jc w:val="center"/>
              <w:rPr>
                <w:rFonts w:ascii="宋体" w:hAnsi="宋体" w:cs="宋体"/>
                <w:kern w:val="0"/>
                <w:szCs w:val="21"/>
                <w:highlight w:val="none"/>
              </w:rPr>
            </w:pPr>
            <w:r>
              <w:rPr>
                <w:rFonts w:hint="eastAsia" w:ascii="宋体" w:hAnsi="宋体"/>
                <w:snapToGrid w:val="0"/>
                <w:szCs w:val="21"/>
                <w:highlight w:val="none"/>
              </w:rPr>
              <w:t>投标文件递交截止时间</w:t>
            </w:r>
          </w:p>
        </w:tc>
        <w:tc>
          <w:tcPr>
            <w:tcW w:w="5811" w:type="dxa"/>
            <w:vAlign w:val="center"/>
          </w:tcPr>
          <w:p>
            <w:pPr>
              <w:snapToGrid w:val="0"/>
              <w:spacing w:line="440" w:lineRule="exact"/>
              <w:rPr>
                <w:rFonts w:ascii="宋体" w:hAnsi="宋体" w:cs="宋体"/>
                <w:kern w:val="0"/>
                <w:szCs w:val="21"/>
                <w:highlight w:val="none"/>
              </w:rPr>
            </w:pPr>
            <w:bookmarkStart w:id="37" w:name="_GoBack"/>
            <w:r>
              <w:rPr>
                <w:rFonts w:hint="eastAsia" w:ascii="宋体" w:hAnsi="宋体" w:cs="宋体"/>
                <w:color w:val="C00000"/>
                <w:kern w:val="0"/>
                <w:szCs w:val="21"/>
                <w:highlight w:val="none"/>
                <w:u w:val="single"/>
              </w:rPr>
              <w:t>2024</w:t>
            </w:r>
            <w:r>
              <w:rPr>
                <w:rFonts w:hint="eastAsia" w:ascii="宋体" w:hAnsi="宋体" w:cs="宋体"/>
                <w:color w:val="C00000"/>
                <w:kern w:val="0"/>
                <w:szCs w:val="21"/>
                <w:highlight w:val="none"/>
              </w:rPr>
              <w:t>年</w:t>
            </w:r>
            <w:r>
              <w:rPr>
                <w:rFonts w:ascii="宋体" w:hAnsi="宋体" w:cs="宋体"/>
                <w:color w:val="C00000"/>
                <w:kern w:val="0"/>
                <w:szCs w:val="21"/>
                <w:highlight w:val="none"/>
                <w:u w:val="single"/>
              </w:rPr>
              <w:t xml:space="preserve"> </w:t>
            </w:r>
            <w:r>
              <w:rPr>
                <w:rFonts w:hint="eastAsia" w:ascii="宋体" w:hAnsi="宋体" w:cs="宋体"/>
                <w:color w:val="C00000"/>
                <w:kern w:val="0"/>
                <w:szCs w:val="21"/>
                <w:highlight w:val="none"/>
                <w:u w:val="single"/>
                <w:lang w:val="en-US" w:eastAsia="zh-CN"/>
              </w:rPr>
              <w:t>3</w:t>
            </w:r>
            <w:r>
              <w:rPr>
                <w:rFonts w:ascii="宋体" w:hAnsi="宋体" w:cs="宋体"/>
                <w:color w:val="C00000"/>
                <w:kern w:val="0"/>
                <w:szCs w:val="21"/>
                <w:highlight w:val="none"/>
                <w:u w:val="single"/>
              </w:rPr>
              <w:t xml:space="preserve"> </w:t>
            </w:r>
            <w:r>
              <w:rPr>
                <w:rFonts w:hint="eastAsia" w:ascii="宋体" w:hAnsi="宋体" w:cs="宋体"/>
                <w:color w:val="C00000"/>
                <w:kern w:val="0"/>
                <w:szCs w:val="21"/>
                <w:highlight w:val="none"/>
              </w:rPr>
              <w:t>月</w:t>
            </w:r>
            <w:r>
              <w:rPr>
                <w:rFonts w:hint="eastAsia" w:ascii="宋体" w:hAnsi="宋体" w:cs="宋体"/>
                <w:color w:val="C00000"/>
                <w:kern w:val="0"/>
                <w:szCs w:val="21"/>
                <w:highlight w:val="none"/>
                <w:u w:val="single"/>
              </w:rPr>
              <w:t xml:space="preserve"> </w:t>
            </w:r>
            <w:r>
              <w:rPr>
                <w:rFonts w:hint="eastAsia" w:ascii="宋体" w:hAnsi="宋体" w:cs="宋体"/>
                <w:color w:val="C00000"/>
                <w:kern w:val="0"/>
                <w:szCs w:val="21"/>
                <w:highlight w:val="none"/>
                <w:u w:val="single"/>
                <w:lang w:val="en-US" w:eastAsia="zh-CN"/>
              </w:rPr>
              <w:t>18</w:t>
            </w:r>
            <w:r>
              <w:rPr>
                <w:rFonts w:hint="eastAsia" w:ascii="宋体" w:hAnsi="宋体" w:cs="宋体"/>
                <w:color w:val="C00000"/>
                <w:kern w:val="0"/>
                <w:szCs w:val="21"/>
                <w:highlight w:val="none"/>
                <w:u w:val="single"/>
              </w:rPr>
              <w:t xml:space="preserve"> </w:t>
            </w:r>
            <w:r>
              <w:rPr>
                <w:rFonts w:hint="eastAsia" w:ascii="宋体" w:hAnsi="宋体" w:cs="宋体"/>
                <w:color w:val="C00000"/>
                <w:kern w:val="0"/>
                <w:szCs w:val="21"/>
                <w:highlight w:val="none"/>
              </w:rPr>
              <w:t xml:space="preserve">日 </w:t>
            </w:r>
            <w:r>
              <w:rPr>
                <w:rFonts w:hint="eastAsia" w:ascii="宋体" w:hAnsi="宋体" w:cs="宋体"/>
                <w:color w:val="C00000"/>
                <w:kern w:val="0"/>
                <w:szCs w:val="21"/>
                <w:highlight w:val="none"/>
                <w:u w:val="single"/>
              </w:rPr>
              <w:t xml:space="preserve"> </w:t>
            </w:r>
            <w:r>
              <w:rPr>
                <w:rFonts w:hint="eastAsia" w:ascii="宋体" w:hAnsi="宋体" w:cs="宋体"/>
                <w:color w:val="C00000"/>
                <w:kern w:val="0"/>
                <w:szCs w:val="21"/>
                <w:highlight w:val="none"/>
                <w:u w:val="single"/>
                <w:lang w:val="en-US" w:eastAsia="zh-CN"/>
              </w:rPr>
              <w:t>14</w:t>
            </w:r>
            <w:r>
              <w:rPr>
                <w:rFonts w:hint="eastAsia" w:ascii="宋体" w:hAnsi="宋体" w:cs="宋体"/>
                <w:color w:val="C00000"/>
                <w:kern w:val="0"/>
                <w:szCs w:val="21"/>
                <w:highlight w:val="none"/>
                <w:u w:val="single"/>
              </w:rPr>
              <w:t xml:space="preserve"> </w:t>
            </w:r>
            <w:r>
              <w:rPr>
                <w:rFonts w:hint="eastAsia" w:ascii="宋体" w:hAnsi="宋体" w:cs="宋体"/>
                <w:color w:val="C00000"/>
                <w:kern w:val="0"/>
                <w:szCs w:val="21"/>
                <w:highlight w:val="none"/>
              </w:rPr>
              <w:t xml:space="preserve"> 时</w:t>
            </w:r>
            <w:r>
              <w:rPr>
                <w:rFonts w:hint="eastAsia" w:ascii="宋体" w:hAnsi="宋体" w:cs="宋体"/>
                <w:color w:val="C00000"/>
                <w:kern w:val="0"/>
                <w:szCs w:val="21"/>
                <w:highlight w:val="none"/>
                <w:u w:val="single"/>
              </w:rPr>
              <w:t xml:space="preserve">  </w:t>
            </w:r>
            <w:r>
              <w:rPr>
                <w:rFonts w:hint="eastAsia" w:ascii="宋体" w:hAnsi="宋体" w:cs="宋体"/>
                <w:color w:val="C00000"/>
                <w:kern w:val="0"/>
                <w:szCs w:val="21"/>
                <w:highlight w:val="none"/>
                <w:u w:val="single"/>
                <w:lang w:val="en-US" w:eastAsia="zh-CN"/>
              </w:rPr>
              <w:t>30</w:t>
            </w:r>
            <w:r>
              <w:rPr>
                <w:rFonts w:hint="eastAsia" w:ascii="宋体" w:hAnsi="宋体" w:cs="宋体"/>
                <w:color w:val="C00000"/>
                <w:kern w:val="0"/>
                <w:szCs w:val="21"/>
                <w:highlight w:val="none"/>
                <w:u w:val="single"/>
              </w:rPr>
              <w:t xml:space="preserve">  </w:t>
            </w:r>
            <w:r>
              <w:rPr>
                <w:rFonts w:hint="eastAsia" w:ascii="宋体" w:hAnsi="宋体" w:cs="宋体"/>
                <w:color w:val="C00000"/>
                <w:kern w:val="0"/>
                <w:szCs w:val="21"/>
                <w:highlight w:val="none"/>
              </w:rPr>
              <w:t>分</w:t>
            </w:r>
            <w:r>
              <w:rPr>
                <w:rFonts w:hint="eastAsia" w:ascii="宋体" w:hAnsi="宋体"/>
                <w:color w:val="C00000"/>
                <w:szCs w:val="21"/>
                <w:highlight w:val="none"/>
              </w:rPr>
              <w:t>。</w:t>
            </w:r>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5.2.2</w:t>
            </w:r>
          </w:p>
        </w:tc>
        <w:tc>
          <w:tcPr>
            <w:tcW w:w="1843" w:type="dxa"/>
            <w:vAlign w:val="center"/>
          </w:tcPr>
          <w:p>
            <w:pPr>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投标文件递交地点</w:t>
            </w:r>
          </w:p>
        </w:tc>
        <w:tc>
          <w:tcPr>
            <w:tcW w:w="5811" w:type="dxa"/>
            <w:vAlign w:val="center"/>
          </w:tcPr>
          <w:p>
            <w:pPr>
              <w:rPr>
                <w:highlight w:val="none"/>
              </w:rPr>
            </w:pPr>
            <w:r>
              <w:rPr>
                <w:rFonts w:hint="eastAsia"/>
                <w:highlight w:val="none"/>
              </w:rPr>
              <w:t>重庆市沙坪坝区土主镇享通路39号黄金湾智谷B1栋</w:t>
            </w:r>
          </w:p>
          <w:p>
            <w:pPr>
              <w:pStyle w:val="71"/>
              <w:spacing w:line="440" w:lineRule="exact"/>
              <w:jc w:val="both"/>
              <w:rPr>
                <w:rFonts w:cs="宋体"/>
                <w:szCs w:val="21"/>
                <w:highlight w:val="none"/>
              </w:rPr>
            </w:pPr>
            <w:r>
              <w:rPr>
                <w:rFonts w:hint="eastAsia" w:cs="宋体"/>
                <w:sz w:val="21"/>
                <w:szCs w:val="21"/>
                <w:highlight w:val="none"/>
              </w:rPr>
              <w:t>重庆国际物流枢纽园区建设有限责任公司238办公室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5.2.3</w:t>
            </w:r>
          </w:p>
        </w:tc>
        <w:tc>
          <w:tcPr>
            <w:tcW w:w="1843" w:type="dxa"/>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开标时间和地点</w:t>
            </w:r>
          </w:p>
        </w:tc>
        <w:tc>
          <w:tcPr>
            <w:tcW w:w="5811" w:type="dxa"/>
            <w:vAlign w:val="center"/>
          </w:tcPr>
          <w:p>
            <w:pPr>
              <w:snapToGrid w:val="0"/>
              <w:spacing w:line="440" w:lineRule="exact"/>
              <w:rPr>
                <w:rFonts w:ascii="宋体" w:hAnsi="宋体" w:cs="宋体"/>
                <w:kern w:val="0"/>
                <w:szCs w:val="21"/>
                <w:highlight w:val="none"/>
              </w:rPr>
            </w:pPr>
            <w:r>
              <w:rPr>
                <w:rFonts w:hint="eastAsia" w:ascii="宋体" w:hAnsi="宋体" w:cs="宋体"/>
                <w:kern w:val="0"/>
                <w:szCs w:val="21"/>
                <w:highlight w:val="none"/>
              </w:rPr>
              <w:t>开标时间：同投标截止时间</w:t>
            </w:r>
          </w:p>
          <w:p>
            <w:pPr>
              <w:rPr>
                <w:rFonts w:ascii="宋体" w:hAnsi="宋体" w:cs="宋体"/>
                <w:b/>
                <w:kern w:val="0"/>
                <w:szCs w:val="21"/>
                <w:highlight w:val="none"/>
              </w:rPr>
            </w:pPr>
            <w:r>
              <w:rPr>
                <w:rFonts w:hint="eastAsia" w:ascii="宋体" w:hAnsi="宋体" w:cs="宋体"/>
                <w:kern w:val="0"/>
                <w:szCs w:val="21"/>
                <w:highlight w:val="none"/>
              </w:rPr>
              <w:t>开标地点：</w:t>
            </w:r>
            <w:r>
              <w:rPr>
                <w:rFonts w:hint="eastAsia"/>
                <w:highlight w:val="none"/>
              </w:rPr>
              <w:t>重庆市沙坪坝区土主镇享通路39号黄金湾智谷B1栋</w:t>
            </w:r>
            <w:r>
              <w:rPr>
                <w:rFonts w:hint="eastAsia" w:cs="宋体"/>
                <w:szCs w:val="21"/>
                <w:highlight w:val="none"/>
              </w:rPr>
              <w:t>重庆国际物流枢纽园区建设有限责任公司</w:t>
            </w:r>
            <w:r>
              <w:rPr>
                <w:rFonts w:hint="eastAsia" w:ascii="宋体" w:hAnsi="宋体" w:cs="宋体"/>
                <w:szCs w:val="21"/>
                <w:highlight w:val="none"/>
              </w:rPr>
              <w:t>招投标会议室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6.1.1</w:t>
            </w:r>
          </w:p>
        </w:tc>
        <w:tc>
          <w:tcPr>
            <w:tcW w:w="1843" w:type="dxa"/>
            <w:vAlign w:val="center"/>
          </w:tcPr>
          <w:p>
            <w:pPr>
              <w:spacing w:line="420" w:lineRule="exact"/>
              <w:jc w:val="center"/>
              <w:textAlignment w:val="baseline"/>
              <w:rPr>
                <w:rFonts w:ascii="宋体" w:hAnsi="宋体"/>
                <w:szCs w:val="21"/>
                <w:highlight w:val="none"/>
              </w:rPr>
            </w:pPr>
            <w:r>
              <w:rPr>
                <w:rFonts w:hint="eastAsia" w:ascii="宋体" w:hAnsi="宋体"/>
                <w:szCs w:val="21"/>
                <w:highlight w:val="none"/>
              </w:rPr>
              <w:t>无效标的确认</w:t>
            </w:r>
          </w:p>
          <w:p>
            <w:pPr>
              <w:adjustRightInd w:val="0"/>
              <w:snapToGrid w:val="0"/>
              <w:spacing w:line="360" w:lineRule="auto"/>
              <w:jc w:val="center"/>
              <w:rPr>
                <w:rFonts w:ascii="宋体" w:hAnsi="宋体" w:cs="宋体"/>
                <w:kern w:val="0"/>
                <w:szCs w:val="21"/>
                <w:highlight w:val="none"/>
              </w:rPr>
            </w:pPr>
          </w:p>
        </w:tc>
        <w:tc>
          <w:tcPr>
            <w:tcW w:w="5811" w:type="dxa"/>
            <w:vAlign w:val="center"/>
          </w:tcPr>
          <w:p>
            <w:pPr>
              <w:spacing w:line="440" w:lineRule="exact"/>
              <w:ind w:firstLine="420" w:firstLineChars="200"/>
              <w:textAlignment w:val="baseline"/>
              <w:rPr>
                <w:rFonts w:ascii="宋体" w:hAnsi="宋体"/>
                <w:szCs w:val="21"/>
                <w:highlight w:val="none"/>
              </w:rPr>
            </w:pPr>
            <w:r>
              <w:rPr>
                <w:rFonts w:hint="eastAsia" w:ascii="宋体" w:hAnsi="宋体"/>
                <w:szCs w:val="21"/>
                <w:highlight w:val="none"/>
              </w:rPr>
              <w:t>有下列情况之一者，均视为未响应本比选文件而作为废标条件：</w:t>
            </w:r>
          </w:p>
          <w:p>
            <w:pPr>
              <w:spacing w:line="440" w:lineRule="exact"/>
              <w:ind w:firstLine="420" w:firstLineChars="200"/>
              <w:textAlignment w:val="baseline"/>
              <w:rPr>
                <w:rFonts w:ascii="宋体" w:hAnsi="宋体"/>
                <w:szCs w:val="21"/>
                <w:highlight w:val="none"/>
              </w:rPr>
            </w:pPr>
            <w:r>
              <w:rPr>
                <w:rFonts w:hint="eastAsia" w:ascii="宋体" w:hAnsi="宋体"/>
                <w:szCs w:val="21"/>
                <w:highlight w:val="none"/>
              </w:rPr>
              <w:t>1.竞标文件没有加盖竞标单位印章的；</w:t>
            </w:r>
          </w:p>
          <w:p>
            <w:pPr>
              <w:spacing w:line="440" w:lineRule="exact"/>
              <w:ind w:firstLine="420" w:firstLineChars="200"/>
              <w:textAlignment w:val="baseline"/>
              <w:rPr>
                <w:rFonts w:ascii="宋体" w:hAnsi="宋体"/>
                <w:szCs w:val="21"/>
                <w:highlight w:val="none"/>
              </w:rPr>
            </w:pPr>
            <w:r>
              <w:rPr>
                <w:rFonts w:hint="eastAsia" w:ascii="宋体" w:hAnsi="宋体"/>
                <w:szCs w:val="21"/>
                <w:highlight w:val="none"/>
              </w:rPr>
              <w:t>3.竞标文件未按规定的格式和要求填写，内容不全或者关键内容字迹模糊、无法辨认的；</w:t>
            </w:r>
          </w:p>
          <w:p>
            <w:pPr>
              <w:spacing w:line="440" w:lineRule="exact"/>
              <w:ind w:firstLine="420" w:firstLineChars="200"/>
              <w:textAlignment w:val="baseline"/>
              <w:rPr>
                <w:rFonts w:ascii="宋体" w:hAnsi="宋体"/>
                <w:szCs w:val="21"/>
                <w:highlight w:val="none"/>
              </w:rPr>
            </w:pPr>
            <w:r>
              <w:rPr>
                <w:rFonts w:hint="eastAsia" w:ascii="宋体" w:hAnsi="宋体"/>
                <w:szCs w:val="21"/>
                <w:highlight w:val="none"/>
              </w:rPr>
              <w:t>4.竞标文件中要求的竞标文件的几个组成部分的任一部分被认定为无效的；</w:t>
            </w:r>
          </w:p>
          <w:p>
            <w:pPr>
              <w:spacing w:line="440" w:lineRule="exact"/>
              <w:ind w:firstLine="420" w:firstLineChars="200"/>
              <w:textAlignment w:val="baseline"/>
              <w:rPr>
                <w:rFonts w:ascii="宋体" w:hAnsi="宋体" w:cs="宋体"/>
                <w:kern w:val="0"/>
                <w:szCs w:val="21"/>
                <w:highlight w:val="none"/>
              </w:rPr>
            </w:pPr>
            <w:r>
              <w:rPr>
                <w:rFonts w:hint="eastAsia" w:ascii="宋体" w:hAnsi="宋体"/>
                <w:szCs w:val="21"/>
                <w:highlight w:val="none"/>
              </w:rPr>
              <w:t>5.竞标文件附有比选人不能接受的条件的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6.1.2</w:t>
            </w:r>
          </w:p>
        </w:tc>
        <w:tc>
          <w:tcPr>
            <w:tcW w:w="1843" w:type="dxa"/>
            <w:vAlign w:val="center"/>
          </w:tcPr>
          <w:p>
            <w:pPr>
              <w:spacing w:line="420" w:lineRule="exact"/>
              <w:ind w:firstLine="420" w:firstLineChars="200"/>
              <w:textAlignment w:val="baseline"/>
              <w:rPr>
                <w:rFonts w:ascii="宋体" w:hAnsi="宋体" w:cs="宋体"/>
                <w:kern w:val="0"/>
                <w:szCs w:val="21"/>
                <w:highlight w:val="none"/>
              </w:rPr>
            </w:pPr>
            <w:r>
              <w:rPr>
                <w:rFonts w:hint="eastAsia" w:ascii="宋体" w:hAnsi="宋体" w:cs="宋体"/>
                <w:kern w:val="0"/>
                <w:highlight w:val="none"/>
              </w:rPr>
              <w:t>重新比选</w:t>
            </w:r>
          </w:p>
        </w:tc>
        <w:tc>
          <w:tcPr>
            <w:tcW w:w="5811" w:type="dxa"/>
            <w:vAlign w:val="center"/>
          </w:tcPr>
          <w:p>
            <w:pPr>
              <w:spacing w:line="440" w:lineRule="exact"/>
              <w:textAlignment w:val="baseline"/>
              <w:rPr>
                <w:rFonts w:ascii="宋体" w:hAnsi="宋体" w:cs="宋体"/>
                <w:kern w:val="0"/>
                <w:szCs w:val="21"/>
                <w:highlight w:val="none"/>
              </w:rPr>
            </w:pPr>
            <w:r>
              <w:rPr>
                <w:rFonts w:hint="eastAsia" w:ascii="宋体" w:hAnsi="宋体"/>
                <w:szCs w:val="21"/>
                <w:highlight w:val="none"/>
              </w:rPr>
              <w:t>竞标截止时间内，发包人收到的有效报价少于</w:t>
            </w:r>
            <w:r>
              <w:rPr>
                <w:rFonts w:ascii="宋体" w:hAnsi="宋体"/>
                <w:szCs w:val="21"/>
                <w:highlight w:val="none"/>
              </w:rPr>
              <w:t>2</w:t>
            </w:r>
            <w:r>
              <w:rPr>
                <w:rFonts w:hint="eastAsia" w:ascii="宋体" w:hAnsi="宋体"/>
                <w:szCs w:val="21"/>
                <w:highlight w:val="none"/>
              </w:rPr>
              <w:t>个的，发包人将重新竞争发包。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93" w:type="dxa"/>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7.1.1</w:t>
            </w:r>
          </w:p>
        </w:tc>
        <w:tc>
          <w:tcPr>
            <w:tcW w:w="1843" w:type="dxa"/>
            <w:vAlign w:val="center"/>
          </w:tcPr>
          <w:p>
            <w:pPr>
              <w:autoSpaceDE w:val="0"/>
              <w:autoSpaceDN w:val="0"/>
              <w:adjustRightInd w:val="0"/>
              <w:spacing w:line="380" w:lineRule="exact"/>
              <w:ind w:firstLine="420" w:firstLineChars="200"/>
              <w:rPr>
                <w:rFonts w:ascii="宋体" w:hAnsi="宋体"/>
                <w:kern w:val="0"/>
                <w:szCs w:val="21"/>
                <w:highlight w:val="none"/>
              </w:rPr>
            </w:pPr>
            <w:r>
              <w:rPr>
                <w:rFonts w:hint="eastAsia" w:ascii="宋体" w:hAnsi="宋体"/>
                <w:kern w:val="0"/>
                <w:szCs w:val="21"/>
                <w:highlight w:val="none"/>
              </w:rPr>
              <w:t>评标原则</w:t>
            </w:r>
          </w:p>
          <w:p>
            <w:pPr>
              <w:snapToGrid w:val="0"/>
              <w:spacing w:line="360" w:lineRule="auto"/>
              <w:jc w:val="center"/>
              <w:rPr>
                <w:rFonts w:ascii="宋体"/>
                <w:szCs w:val="21"/>
                <w:highlight w:val="none"/>
              </w:rPr>
            </w:pPr>
          </w:p>
        </w:tc>
        <w:tc>
          <w:tcPr>
            <w:tcW w:w="5811" w:type="dxa"/>
            <w:vAlign w:val="center"/>
          </w:tcPr>
          <w:p>
            <w:pPr>
              <w:spacing w:line="440" w:lineRule="exact"/>
              <w:ind w:firstLine="422" w:firstLineChars="201"/>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.由</w:t>
            </w:r>
            <w:r>
              <w:rPr>
                <w:rFonts w:hint="eastAsia" w:ascii="宋体" w:hAnsi="宋体" w:cs="宋体"/>
                <w:kern w:val="0"/>
                <w:szCs w:val="21"/>
                <w:highlight w:val="none"/>
              </w:rPr>
              <w:t>重庆国际物流枢纽园区建设有限责任公司</w:t>
            </w:r>
            <w:r>
              <w:rPr>
                <w:rFonts w:hint="eastAsia" w:ascii="宋体" w:hAnsi="宋体" w:cs="宋体"/>
                <w:szCs w:val="21"/>
                <w:highlight w:val="none"/>
              </w:rPr>
              <w:t>评标小组，采取综合评议办法，</w:t>
            </w:r>
            <w:r>
              <w:rPr>
                <w:rFonts w:ascii="宋体" w:hAnsi="宋体" w:cs="宋体"/>
                <w:szCs w:val="21"/>
                <w:highlight w:val="none"/>
              </w:rPr>
              <w:t>按评分加计总分排序，作为比选依据。</w:t>
            </w:r>
          </w:p>
          <w:p>
            <w:pPr>
              <w:spacing w:line="440" w:lineRule="exact"/>
              <w:ind w:firstLine="422" w:firstLineChars="201"/>
              <w:rPr>
                <w:highlight w:val="none"/>
              </w:rPr>
            </w:pPr>
            <w:r>
              <w:rPr>
                <w:rFonts w:ascii="宋体" w:hAnsi="宋体" w:cs="宋体"/>
                <w:szCs w:val="21"/>
                <w:highlight w:val="none"/>
              </w:rPr>
              <w:t>2</w:t>
            </w:r>
            <w:r>
              <w:rPr>
                <w:rFonts w:hint="eastAsia" w:ascii="宋体" w:hAnsi="宋体" w:cs="宋体"/>
                <w:szCs w:val="21"/>
                <w:highlight w:val="none"/>
              </w:rPr>
              <w:t>.</w:t>
            </w:r>
            <w:r>
              <w:rPr>
                <w:rFonts w:ascii="宋体" w:hAnsi="宋体" w:cs="宋体"/>
                <w:szCs w:val="21"/>
                <w:highlight w:val="none"/>
              </w:rPr>
              <w:t>获得的评分从高到低（评分人员对各参选单位评分的总和）</w:t>
            </w:r>
            <w:r>
              <w:rPr>
                <w:rFonts w:hint="eastAsia" w:ascii="宋体" w:hAnsi="宋体" w:cs="宋体"/>
                <w:szCs w:val="21"/>
                <w:highlight w:val="none"/>
              </w:rPr>
              <w:t>前1名的银行和证券公司</w:t>
            </w:r>
            <w:r>
              <w:rPr>
                <w:rFonts w:ascii="宋体" w:hAnsi="宋体" w:cs="宋体"/>
                <w:szCs w:val="21"/>
                <w:highlight w:val="none"/>
              </w:rPr>
              <w:t>为本次</w:t>
            </w:r>
            <w:r>
              <w:rPr>
                <w:rFonts w:hint="eastAsia" w:ascii="宋体" w:hAnsi="宋体" w:cs="宋体"/>
                <w:szCs w:val="21"/>
                <w:highlight w:val="none"/>
              </w:rPr>
              <w:t>超短融</w:t>
            </w:r>
            <w:r>
              <w:rPr>
                <w:rFonts w:ascii="宋体" w:hAnsi="宋体" w:cs="宋体"/>
                <w:szCs w:val="21"/>
                <w:highlight w:val="none"/>
              </w:rPr>
              <w:t>承销商，</w:t>
            </w:r>
            <w:r>
              <w:rPr>
                <w:rFonts w:hint="eastAsia" w:ascii="宋体" w:hAnsi="宋体" w:cs="宋体"/>
                <w:szCs w:val="21"/>
                <w:highlight w:val="none"/>
              </w:rPr>
              <w:t>组成本次债券发行的联合承销团队</w:t>
            </w:r>
            <w:r>
              <w:rPr>
                <w:rFonts w:ascii="宋体" w:hAnsi="宋体" w:cs="宋体"/>
                <w:szCs w:val="21"/>
                <w:highlight w:val="none"/>
              </w:rPr>
              <w:t>。</w:t>
            </w:r>
          </w:p>
        </w:tc>
      </w:tr>
    </w:tbl>
    <w:p>
      <w:pPr>
        <w:pStyle w:val="4"/>
        <w:spacing w:before="0" w:line="420" w:lineRule="exact"/>
        <w:rPr>
          <w:rFonts w:ascii="宋体" w:hAnsi="宋体" w:eastAsia="宋体"/>
          <w:snapToGrid w:val="0"/>
          <w:szCs w:val="24"/>
          <w:highlight w:val="none"/>
        </w:rPr>
      </w:pPr>
      <w:bookmarkStart w:id="24" w:name="_Toc200513126"/>
      <w:bookmarkStart w:id="25" w:name="_Toc224103317"/>
    </w:p>
    <w:p>
      <w:pPr>
        <w:rPr>
          <w:highlight w:val="none"/>
        </w:rPr>
      </w:pPr>
    </w:p>
    <w:p>
      <w:pPr>
        <w:rPr>
          <w:highlight w:val="none"/>
        </w:rPr>
      </w:pPr>
    </w:p>
    <w:bookmarkEnd w:id="24"/>
    <w:bookmarkEnd w:id="25"/>
    <w:p>
      <w:pPr>
        <w:rPr>
          <w:rFonts w:ascii="新宋体" w:eastAsia="新宋体"/>
          <w:szCs w:val="21"/>
          <w:highlight w:val="none"/>
        </w:rPr>
      </w:pPr>
      <w:bookmarkStart w:id="26" w:name="_Toc256532137"/>
    </w:p>
    <w:p>
      <w:pPr>
        <w:pStyle w:val="4"/>
        <w:rPr>
          <w:rFonts w:ascii="新宋体" w:eastAsia="新宋体"/>
          <w:szCs w:val="21"/>
          <w:highlight w:val="none"/>
        </w:rPr>
      </w:pPr>
    </w:p>
    <w:p>
      <w:pPr>
        <w:rPr>
          <w:rFonts w:ascii="新宋体" w:eastAsia="新宋体"/>
          <w:szCs w:val="21"/>
          <w:highlight w:val="none"/>
        </w:rPr>
      </w:pPr>
    </w:p>
    <w:p>
      <w:pPr>
        <w:pStyle w:val="4"/>
        <w:rPr>
          <w:rFonts w:ascii="新宋体" w:eastAsia="新宋体"/>
          <w:szCs w:val="21"/>
          <w:highlight w:val="none"/>
        </w:rPr>
      </w:pPr>
    </w:p>
    <w:p>
      <w:pPr>
        <w:rPr>
          <w:rFonts w:ascii="新宋体" w:eastAsia="新宋体"/>
          <w:szCs w:val="21"/>
          <w:highlight w:val="none"/>
        </w:rPr>
      </w:pPr>
    </w:p>
    <w:p>
      <w:pPr>
        <w:pStyle w:val="4"/>
        <w:rPr>
          <w:highlight w:val="none"/>
        </w:rPr>
      </w:pPr>
    </w:p>
    <w:p>
      <w:pPr>
        <w:rPr>
          <w:highlight w:val="none"/>
        </w:rPr>
      </w:pPr>
    </w:p>
    <w:p>
      <w:pPr>
        <w:pStyle w:val="4"/>
        <w:rPr>
          <w:highlight w:val="none"/>
        </w:rPr>
      </w:pPr>
    </w:p>
    <w:p>
      <w:pPr>
        <w:rPr>
          <w:highlight w:val="none"/>
        </w:rPr>
      </w:pPr>
    </w:p>
    <w:p>
      <w:pPr>
        <w:pStyle w:val="4"/>
        <w:rPr>
          <w:highlight w:val="none"/>
        </w:rPr>
      </w:pPr>
    </w:p>
    <w:p>
      <w:pPr>
        <w:pStyle w:val="4"/>
        <w:rPr>
          <w:highlight w:val="none"/>
        </w:rPr>
      </w:pPr>
      <w:r>
        <w:rPr>
          <w:rFonts w:hint="eastAsia"/>
          <w:highlight w:val="none"/>
        </w:rPr>
        <w:t>附件1：</w:t>
      </w:r>
    </w:p>
    <w:p>
      <w:pPr>
        <w:jc w:val="center"/>
        <w:rPr>
          <w:b/>
          <w:bCs/>
          <w:sz w:val="28"/>
          <w:szCs w:val="28"/>
          <w:highlight w:val="none"/>
        </w:rPr>
      </w:pPr>
      <w:r>
        <w:rPr>
          <w:rFonts w:hint="eastAsia"/>
          <w:b/>
          <w:bCs/>
          <w:sz w:val="28"/>
          <w:szCs w:val="28"/>
          <w:highlight w:val="none"/>
        </w:rPr>
        <w:t>中国银行间市场交易商协会债券承销机构（银行）评分表</w:t>
      </w:r>
    </w:p>
    <w:tbl>
      <w:tblPr>
        <w:tblStyle w:val="26"/>
        <w:tblW w:w="8976" w:type="dxa"/>
        <w:tblInd w:w="-170" w:type="dxa"/>
        <w:tblLayout w:type="fixed"/>
        <w:tblCellMar>
          <w:top w:w="0" w:type="dxa"/>
          <w:left w:w="0" w:type="dxa"/>
          <w:bottom w:w="0" w:type="dxa"/>
          <w:right w:w="0" w:type="dxa"/>
        </w:tblCellMar>
      </w:tblPr>
      <w:tblGrid>
        <w:gridCol w:w="876"/>
        <w:gridCol w:w="1416"/>
        <w:gridCol w:w="4668"/>
        <w:gridCol w:w="1008"/>
        <w:gridCol w:w="1008"/>
      </w:tblGrid>
      <w:tr>
        <w:tblPrEx>
          <w:tblCellMar>
            <w:top w:w="0" w:type="dxa"/>
            <w:left w:w="0" w:type="dxa"/>
            <w:bottom w:w="0" w:type="dxa"/>
            <w:right w:w="0" w:type="dxa"/>
          </w:tblCellMar>
        </w:tblPrEx>
        <w:trPr>
          <w:trHeight w:val="368" w:hRule="atLeast"/>
        </w:trPr>
        <w:tc>
          <w:tcPr>
            <w:tcW w:w="876" w:type="dxa"/>
            <w:tcBorders>
              <w:top w:val="single" w:color="000000" w:sz="4" w:space="0"/>
              <w:left w:val="single" w:color="000000" w:sz="4" w:space="0"/>
              <w:bottom w:val="single" w:color="000000" w:sz="4" w:space="0"/>
              <w:right w:val="single" w:color="000000" w:sz="4" w:space="0"/>
            </w:tcBorders>
            <w:shd w:val="clear" w:color="auto" w:fill="BFBFBF"/>
            <w:tcMar>
              <w:top w:w="12" w:type="dxa"/>
              <w:left w:w="12" w:type="dxa"/>
              <w:right w:w="12" w:type="dxa"/>
            </w:tcMar>
            <w:vAlign w:val="center"/>
          </w:tcPr>
          <w:p>
            <w:pPr>
              <w:widowControl/>
              <w:jc w:val="center"/>
              <w:textAlignment w:val="center"/>
              <w:rPr>
                <w:rFonts w:ascii="方正黑体_GBK" w:hAnsi="方正黑体_GBK" w:eastAsia="方正黑体_GBK" w:cs="方正黑体_GBK"/>
                <w:b/>
                <w:color w:val="000000"/>
                <w:szCs w:val="21"/>
                <w:highlight w:val="none"/>
              </w:rPr>
            </w:pPr>
            <w:r>
              <w:rPr>
                <w:rFonts w:hint="eastAsia" w:ascii="方正黑体_GBK" w:hAnsi="方正黑体_GBK" w:eastAsia="方正黑体_GBK" w:cs="方正黑体_GBK"/>
                <w:b/>
                <w:color w:val="000000"/>
                <w:kern w:val="0"/>
                <w:szCs w:val="21"/>
                <w:highlight w:val="none"/>
                <w:lang w:bidi="ar"/>
              </w:rPr>
              <w:t>序号</w:t>
            </w:r>
          </w:p>
        </w:tc>
        <w:tc>
          <w:tcPr>
            <w:tcW w:w="1416" w:type="dxa"/>
            <w:tcBorders>
              <w:top w:val="single" w:color="000000" w:sz="4" w:space="0"/>
              <w:left w:val="single" w:color="000000" w:sz="4" w:space="0"/>
              <w:bottom w:val="single" w:color="000000" w:sz="4" w:space="0"/>
              <w:right w:val="single" w:color="000000" w:sz="4" w:space="0"/>
            </w:tcBorders>
            <w:shd w:val="clear" w:color="auto" w:fill="BFBFBF"/>
            <w:tcMar>
              <w:top w:w="12" w:type="dxa"/>
              <w:left w:w="12" w:type="dxa"/>
              <w:right w:w="12" w:type="dxa"/>
            </w:tcMar>
            <w:vAlign w:val="center"/>
          </w:tcPr>
          <w:p>
            <w:pPr>
              <w:widowControl/>
              <w:jc w:val="center"/>
              <w:textAlignment w:val="center"/>
              <w:rPr>
                <w:rFonts w:ascii="方正黑体_GBK" w:hAnsi="方正黑体_GBK" w:eastAsia="方正黑体_GBK" w:cs="方正黑体_GBK"/>
                <w:b/>
                <w:color w:val="000000"/>
                <w:szCs w:val="21"/>
                <w:highlight w:val="none"/>
              </w:rPr>
            </w:pPr>
            <w:r>
              <w:rPr>
                <w:rFonts w:hint="eastAsia" w:ascii="方正黑体_GBK" w:hAnsi="方正黑体_GBK" w:eastAsia="方正黑体_GBK" w:cs="方正黑体_GBK"/>
                <w:b/>
                <w:color w:val="000000"/>
                <w:kern w:val="0"/>
                <w:szCs w:val="21"/>
                <w:highlight w:val="none"/>
                <w:lang w:bidi="ar"/>
              </w:rPr>
              <w:t>评分项目</w:t>
            </w:r>
          </w:p>
        </w:tc>
        <w:tc>
          <w:tcPr>
            <w:tcW w:w="4668" w:type="dxa"/>
            <w:tcBorders>
              <w:top w:val="single" w:color="000000" w:sz="4" w:space="0"/>
              <w:left w:val="single" w:color="000000" w:sz="4" w:space="0"/>
              <w:bottom w:val="single" w:color="000000" w:sz="4" w:space="0"/>
              <w:right w:val="single" w:color="000000" w:sz="4" w:space="0"/>
            </w:tcBorders>
            <w:shd w:val="clear" w:color="auto" w:fill="BFBFBF"/>
            <w:tcMar>
              <w:top w:w="12" w:type="dxa"/>
              <w:left w:w="12" w:type="dxa"/>
              <w:right w:w="12" w:type="dxa"/>
            </w:tcMar>
            <w:vAlign w:val="center"/>
          </w:tcPr>
          <w:p>
            <w:pPr>
              <w:widowControl/>
              <w:jc w:val="center"/>
              <w:textAlignment w:val="center"/>
              <w:rPr>
                <w:rFonts w:ascii="方正黑体_GBK" w:hAnsi="方正黑体_GBK" w:eastAsia="方正黑体_GBK" w:cs="方正黑体_GBK"/>
                <w:b/>
                <w:color w:val="000000"/>
                <w:szCs w:val="21"/>
                <w:highlight w:val="none"/>
              </w:rPr>
            </w:pPr>
            <w:r>
              <w:rPr>
                <w:rFonts w:hint="eastAsia" w:ascii="方正黑体_GBK" w:hAnsi="方正黑体_GBK" w:eastAsia="方正黑体_GBK" w:cs="方正黑体_GBK"/>
                <w:b/>
                <w:color w:val="000000"/>
                <w:kern w:val="0"/>
                <w:szCs w:val="21"/>
                <w:highlight w:val="none"/>
                <w:lang w:bidi="ar"/>
              </w:rPr>
              <w:t>评分标准</w:t>
            </w:r>
          </w:p>
        </w:tc>
        <w:tc>
          <w:tcPr>
            <w:tcW w:w="1008" w:type="dxa"/>
            <w:tcBorders>
              <w:top w:val="single" w:color="000000" w:sz="4" w:space="0"/>
              <w:left w:val="single" w:color="000000" w:sz="4" w:space="0"/>
              <w:bottom w:val="single" w:color="000000" w:sz="4" w:space="0"/>
              <w:right w:val="single" w:color="000000" w:sz="4" w:space="0"/>
            </w:tcBorders>
            <w:shd w:val="clear" w:color="auto" w:fill="BFBFBF"/>
            <w:tcMar>
              <w:top w:w="12" w:type="dxa"/>
              <w:left w:w="12" w:type="dxa"/>
              <w:right w:w="12" w:type="dxa"/>
            </w:tcMar>
            <w:vAlign w:val="center"/>
          </w:tcPr>
          <w:p>
            <w:pPr>
              <w:widowControl/>
              <w:jc w:val="center"/>
              <w:textAlignment w:val="center"/>
              <w:rPr>
                <w:rFonts w:ascii="方正黑体_GBK" w:hAnsi="方正黑体_GBK" w:eastAsia="方正黑体_GBK" w:cs="方正黑体_GBK"/>
                <w:color w:val="000000"/>
                <w:szCs w:val="21"/>
                <w:highlight w:val="none"/>
              </w:rPr>
            </w:pPr>
            <w:r>
              <w:rPr>
                <w:rFonts w:hint="eastAsia" w:ascii="方正黑体_GBK" w:hAnsi="方正黑体_GBK" w:eastAsia="方正黑体_GBK" w:cs="方正黑体_GBK"/>
                <w:color w:val="000000"/>
                <w:kern w:val="0"/>
                <w:szCs w:val="21"/>
                <w:highlight w:val="none"/>
                <w:lang w:bidi="ar"/>
              </w:rPr>
              <w:t>得分</w:t>
            </w:r>
          </w:p>
        </w:tc>
        <w:tc>
          <w:tcPr>
            <w:tcW w:w="1008" w:type="dxa"/>
            <w:tcBorders>
              <w:top w:val="single" w:color="000000" w:sz="4" w:space="0"/>
              <w:left w:val="single" w:color="000000" w:sz="4" w:space="0"/>
              <w:bottom w:val="single" w:color="000000" w:sz="4" w:space="0"/>
              <w:right w:val="single" w:color="000000" w:sz="4" w:space="0"/>
            </w:tcBorders>
            <w:shd w:val="clear" w:color="auto" w:fill="BFBFBF"/>
            <w:tcMar>
              <w:top w:w="12" w:type="dxa"/>
              <w:left w:w="12" w:type="dxa"/>
              <w:right w:w="12" w:type="dxa"/>
            </w:tcMar>
            <w:vAlign w:val="center"/>
          </w:tcPr>
          <w:p>
            <w:pPr>
              <w:widowControl/>
              <w:jc w:val="center"/>
              <w:textAlignment w:val="center"/>
              <w:rPr>
                <w:rFonts w:ascii="方正黑体_GBK" w:hAnsi="方正黑体_GBK" w:eastAsia="方正黑体_GBK" w:cs="方正黑体_GBK"/>
                <w:color w:val="000000"/>
                <w:szCs w:val="21"/>
                <w:highlight w:val="none"/>
              </w:rPr>
            </w:pPr>
            <w:r>
              <w:rPr>
                <w:rFonts w:hint="eastAsia" w:ascii="方正黑体_GBK" w:hAnsi="方正黑体_GBK" w:eastAsia="方正黑体_GBK" w:cs="方正黑体_GBK"/>
                <w:color w:val="000000"/>
                <w:kern w:val="0"/>
                <w:szCs w:val="21"/>
                <w:highlight w:val="none"/>
                <w:lang w:bidi="ar"/>
              </w:rPr>
              <w:t>备注</w:t>
            </w:r>
          </w:p>
        </w:tc>
      </w:tr>
      <w:tr>
        <w:tblPrEx>
          <w:tblCellMar>
            <w:top w:w="0" w:type="dxa"/>
            <w:left w:w="0" w:type="dxa"/>
            <w:bottom w:w="0" w:type="dxa"/>
            <w:right w:w="0" w:type="dxa"/>
          </w:tblCellMar>
        </w:tblPrEx>
        <w:trPr>
          <w:trHeight w:val="122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textAlignment w:val="center"/>
              <w:rPr>
                <w:rFonts w:ascii="方正楷体_GBK" w:hAnsi="方正楷体_GBK" w:eastAsia="方正楷体_GBK" w:cs="方正楷体_GBK"/>
                <w:color w:val="000000"/>
                <w:szCs w:val="21"/>
                <w:highlight w:val="none"/>
              </w:rPr>
            </w:pPr>
            <w:r>
              <w:rPr>
                <w:rFonts w:hint="eastAsia" w:ascii="方正楷体_GBK" w:hAnsi="方正楷体_GBK" w:eastAsia="方正楷体_GBK" w:cs="方正楷体_GBK"/>
                <w:color w:val="000000"/>
                <w:kern w:val="0"/>
                <w:szCs w:val="21"/>
                <w:highlight w:val="none"/>
                <w:lang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textAlignment w:val="center"/>
              <w:rPr>
                <w:highlight w:val="none"/>
              </w:rPr>
            </w:pPr>
            <w:r>
              <w:rPr>
                <w:rFonts w:hint="eastAsia"/>
                <w:highlight w:val="none"/>
              </w:rPr>
              <w:t>综合实力</w:t>
            </w:r>
          </w:p>
          <w:p>
            <w:pPr>
              <w:widowControl/>
              <w:spacing w:line="280" w:lineRule="exact"/>
              <w:jc w:val="center"/>
              <w:textAlignment w:val="center"/>
              <w:rPr>
                <w:rFonts w:ascii="方正楷体_GBK" w:hAnsi="方正楷体_GBK" w:eastAsia="方正楷体_GBK" w:cs="方正楷体_GBK"/>
                <w:color w:val="000000"/>
                <w:szCs w:val="21"/>
                <w:highlight w:val="none"/>
              </w:rPr>
            </w:pPr>
            <w:r>
              <w:rPr>
                <w:rFonts w:hint="eastAsia"/>
                <w:highlight w:val="none"/>
              </w:rPr>
              <w:t>（</w:t>
            </w:r>
            <w:r>
              <w:rPr>
                <w:highlight w:val="none"/>
              </w:rPr>
              <w:t>1</w:t>
            </w:r>
            <w:r>
              <w:rPr>
                <w:rFonts w:hint="eastAsia"/>
                <w:highlight w:val="none"/>
              </w:rPr>
              <w:t>0）</w:t>
            </w:r>
          </w:p>
        </w:tc>
        <w:tc>
          <w:tcPr>
            <w:tcW w:w="4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textAlignment w:val="center"/>
              <w:rPr>
                <w:rFonts w:ascii="方正仿宋_GBK" w:hAnsi="方正仿宋_GBK" w:eastAsia="方正仿宋_GBK" w:cs="方正仿宋_GBK"/>
                <w:color w:val="000000"/>
                <w:szCs w:val="21"/>
                <w:highlight w:val="none"/>
              </w:rPr>
            </w:pPr>
            <w:r>
              <w:rPr>
                <w:rFonts w:hint="eastAsia" w:ascii="方正仿宋_GBK" w:hAnsi="方正仿宋_GBK" w:eastAsia="方正仿宋_GBK" w:cs="方正仿宋_GBK"/>
                <w:color w:val="000000"/>
                <w:kern w:val="0"/>
                <w:szCs w:val="21"/>
                <w:highlight w:val="none"/>
                <w:lang w:bidi="ar"/>
              </w:rPr>
              <w:t>满分20分，其中：基础分值5分，根据投标主体综合实力、承销团队和述标情况进行打分，无负面清单得基础分；加分项包括：交易商协会一般主承销商（3分）、上市公司（2分）。</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rPr>
                <w:rFonts w:ascii="方正仿宋_GBK" w:hAnsi="方正仿宋_GBK" w:eastAsia="方正仿宋_GBK" w:cs="方正仿宋_GBK"/>
                <w:color w:val="00000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rPr>
                <w:rFonts w:ascii="方正仿宋_GBK" w:hAnsi="方正仿宋_GBK" w:eastAsia="方正仿宋_GBK" w:cs="方正仿宋_GBK"/>
                <w:color w:val="000000"/>
                <w:szCs w:val="21"/>
                <w:highlight w:val="none"/>
              </w:rPr>
            </w:pPr>
          </w:p>
        </w:tc>
      </w:tr>
      <w:tr>
        <w:tblPrEx>
          <w:tblCellMar>
            <w:top w:w="0" w:type="dxa"/>
            <w:left w:w="0" w:type="dxa"/>
            <w:bottom w:w="0" w:type="dxa"/>
            <w:right w:w="0" w:type="dxa"/>
          </w:tblCellMar>
        </w:tblPrEx>
        <w:trPr>
          <w:trHeight w:val="9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textAlignment w:val="center"/>
              <w:rPr>
                <w:rFonts w:ascii="方正楷体_GBK" w:hAnsi="方正楷体_GBK" w:eastAsia="方正楷体_GBK" w:cs="方正楷体_GBK"/>
                <w:color w:val="000000"/>
                <w:szCs w:val="21"/>
                <w:highlight w:val="none"/>
              </w:rPr>
            </w:pPr>
            <w:r>
              <w:rPr>
                <w:rFonts w:hint="eastAsia" w:ascii="方正楷体_GBK" w:hAnsi="方正楷体_GBK" w:eastAsia="方正楷体_GBK" w:cs="方正楷体_GBK"/>
                <w:color w:val="000000"/>
                <w:kern w:val="0"/>
                <w:szCs w:val="21"/>
                <w:highlight w:val="none"/>
                <w:lang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textAlignment w:val="center"/>
              <w:rPr>
                <w:highlight w:val="none"/>
              </w:rPr>
            </w:pPr>
            <w:r>
              <w:rPr>
                <w:rFonts w:hint="eastAsia"/>
                <w:highlight w:val="none"/>
              </w:rPr>
              <w:t>承销费率</w:t>
            </w:r>
          </w:p>
          <w:p>
            <w:pPr>
              <w:widowControl/>
              <w:spacing w:line="280" w:lineRule="exact"/>
              <w:jc w:val="center"/>
              <w:textAlignment w:val="center"/>
              <w:rPr>
                <w:rFonts w:ascii="方正楷体_GBK" w:hAnsi="方正楷体_GBK" w:eastAsia="方正楷体_GBK" w:cs="方正楷体_GBK"/>
                <w:color w:val="000000"/>
                <w:szCs w:val="21"/>
                <w:highlight w:val="none"/>
              </w:rPr>
            </w:pPr>
            <w:r>
              <w:rPr>
                <w:rFonts w:hint="eastAsia"/>
                <w:highlight w:val="none"/>
                <w:lang w:bidi="ar"/>
              </w:rPr>
              <w:t>（20）</w:t>
            </w:r>
          </w:p>
        </w:tc>
        <w:tc>
          <w:tcPr>
            <w:tcW w:w="4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textAlignment w:val="center"/>
              <w:rPr>
                <w:rFonts w:ascii="方正仿宋_GBK" w:hAnsi="方正仿宋_GBK" w:eastAsia="方正仿宋_GBK" w:cs="方正仿宋_GBK"/>
                <w:color w:val="000000"/>
                <w:szCs w:val="21"/>
                <w:highlight w:val="none"/>
              </w:rPr>
            </w:pPr>
            <w:r>
              <w:rPr>
                <w:rFonts w:hint="eastAsia" w:ascii="方正仿宋_GBK" w:hAnsi="方正仿宋_GBK" w:eastAsia="方正仿宋_GBK" w:cs="方正仿宋_GBK"/>
                <w:color w:val="000000"/>
                <w:kern w:val="0"/>
                <w:szCs w:val="21"/>
                <w:highlight w:val="none"/>
                <w:lang w:bidi="ar"/>
              </w:rPr>
              <w:t>满分20分，年承销费率以0.1%/年为基准，低于0.1%/年仍得20分，不另外加分。若承销费率高于0.1%/年，按照1%及其整数倍递增，每增加1%，得分扣减5分，直至扣至0分。不是按整数倍递增的，四舍五入计算整数倍。不同意承销费率按年支付安排的，得0分。</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rPr>
                <w:rFonts w:ascii="方正仿宋_GBK" w:hAnsi="方正仿宋_GBK" w:eastAsia="方正仿宋_GBK" w:cs="方正仿宋_GBK"/>
                <w:color w:val="00000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rPr>
                <w:rFonts w:ascii="方正仿宋_GBK" w:hAnsi="方正仿宋_GBK" w:eastAsia="方正仿宋_GBK" w:cs="方正仿宋_GBK"/>
                <w:color w:val="000000"/>
                <w:szCs w:val="21"/>
                <w:highlight w:val="none"/>
              </w:rPr>
            </w:pPr>
          </w:p>
        </w:tc>
      </w:tr>
      <w:tr>
        <w:tblPrEx>
          <w:tblCellMar>
            <w:top w:w="0" w:type="dxa"/>
            <w:left w:w="0" w:type="dxa"/>
            <w:bottom w:w="0" w:type="dxa"/>
            <w:right w:w="0" w:type="dxa"/>
          </w:tblCellMar>
        </w:tblPrEx>
        <w:trPr>
          <w:trHeight w:val="87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textAlignment w:val="center"/>
              <w:rPr>
                <w:rFonts w:ascii="方正楷体_GBK" w:hAnsi="方正楷体_GBK" w:eastAsia="方正楷体_GBK" w:cs="方正楷体_GBK"/>
                <w:color w:val="000000"/>
                <w:szCs w:val="21"/>
                <w:highlight w:val="none"/>
              </w:rPr>
            </w:pPr>
            <w:r>
              <w:rPr>
                <w:rFonts w:hint="eastAsia" w:ascii="方正楷体_GBK" w:hAnsi="方正楷体_GBK" w:eastAsia="方正楷体_GBK" w:cs="方正楷体_GBK"/>
                <w:color w:val="000000"/>
                <w:kern w:val="0"/>
                <w:szCs w:val="21"/>
                <w:highlight w:val="none"/>
                <w:lang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textAlignment w:val="center"/>
              <w:rPr>
                <w:highlight w:val="none"/>
              </w:rPr>
            </w:pPr>
            <w:r>
              <w:rPr>
                <w:rFonts w:hint="eastAsia"/>
                <w:highlight w:val="none"/>
              </w:rPr>
              <w:t>发行方案</w:t>
            </w:r>
          </w:p>
          <w:p>
            <w:pPr>
              <w:widowControl/>
              <w:spacing w:line="280" w:lineRule="exact"/>
              <w:jc w:val="center"/>
              <w:textAlignment w:val="center"/>
              <w:rPr>
                <w:rFonts w:ascii="方正楷体_GBK" w:hAnsi="方正楷体_GBK" w:eastAsia="方正楷体_GBK" w:cs="方正楷体_GBK"/>
                <w:color w:val="000000"/>
                <w:szCs w:val="21"/>
                <w:highlight w:val="none"/>
              </w:rPr>
            </w:pPr>
            <w:r>
              <w:rPr>
                <w:rFonts w:hint="eastAsia"/>
                <w:highlight w:val="none"/>
                <w:lang w:bidi="ar"/>
              </w:rPr>
              <w:t>（20）</w:t>
            </w:r>
          </w:p>
        </w:tc>
        <w:tc>
          <w:tcPr>
            <w:tcW w:w="4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textAlignment w:val="center"/>
              <w:rPr>
                <w:rFonts w:ascii="方正仿宋_GBK" w:hAnsi="方正仿宋_GBK" w:eastAsia="方正仿宋_GBK" w:cs="方正仿宋_GBK"/>
                <w:color w:val="000000"/>
                <w:szCs w:val="21"/>
                <w:highlight w:val="none"/>
              </w:rPr>
            </w:pPr>
            <w:r>
              <w:rPr>
                <w:rFonts w:hint="eastAsia" w:ascii="方正仿宋_GBK" w:hAnsi="方正仿宋_GBK" w:eastAsia="方正仿宋_GBK" w:cs="方正仿宋_GBK"/>
                <w:color w:val="000000"/>
                <w:kern w:val="0"/>
                <w:szCs w:val="21"/>
                <w:highlight w:val="none"/>
                <w:lang w:bidi="ar"/>
              </w:rPr>
              <w:t>应列出债券发行方案；发行工作时间安排计划表，从组织申报到发行成功每个阶段需要花费的时间预计以及各项工作安排；服务于本次债券发行的团队构成；发行工作完成后的后续工作及服务。满分20分，每缺失一项扣5分。</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rPr>
                <w:rFonts w:ascii="方正仿宋_GBK" w:hAnsi="方正仿宋_GBK" w:eastAsia="方正仿宋_GBK" w:cs="方正仿宋_GBK"/>
                <w:color w:val="00000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rPr>
                <w:rFonts w:ascii="方正仿宋_GBK" w:hAnsi="方正仿宋_GBK" w:eastAsia="方正仿宋_GBK" w:cs="方正仿宋_GBK"/>
                <w:color w:val="000000"/>
                <w:szCs w:val="21"/>
                <w:highlight w:val="none"/>
              </w:rPr>
            </w:pPr>
          </w:p>
        </w:tc>
      </w:tr>
      <w:tr>
        <w:tblPrEx>
          <w:tblCellMar>
            <w:top w:w="0" w:type="dxa"/>
            <w:left w:w="0" w:type="dxa"/>
            <w:bottom w:w="0" w:type="dxa"/>
            <w:right w:w="0" w:type="dxa"/>
          </w:tblCellMar>
        </w:tblPrEx>
        <w:trPr>
          <w:trHeight w:val="164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textAlignment w:val="center"/>
              <w:rPr>
                <w:rFonts w:ascii="方正楷体_GBK" w:hAnsi="方正楷体_GBK" w:eastAsia="方正楷体_GBK" w:cs="方正楷体_GBK"/>
                <w:color w:val="000000"/>
                <w:szCs w:val="21"/>
                <w:highlight w:val="none"/>
              </w:rPr>
            </w:pPr>
            <w:r>
              <w:rPr>
                <w:rFonts w:hint="eastAsia" w:ascii="方正楷体_GBK" w:hAnsi="方正楷体_GBK" w:eastAsia="方正楷体_GBK" w:cs="方正楷体_GBK"/>
                <w:color w:val="000000"/>
                <w:kern w:val="0"/>
                <w:szCs w:val="21"/>
                <w:highlight w:val="none"/>
                <w:lang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textAlignment w:val="center"/>
              <w:rPr>
                <w:highlight w:val="none"/>
              </w:rPr>
            </w:pPr>
            <w:r>
              <w:rPr>
                <w:rFonts w:hint="eastAsia"/>
                <w:highlight w:val="none"/>
              </w:rPr>
              <w:t>承销规模</w:t>
            </w:r>
          </w:p>
          <w:p>
            <w:pPr>
              <w:widowControl/>
              <w:spacing w:line="280" w:lineRule="exact"/>
              <w:jc w:val="center"/>
              <w:textAlignment w:val="center"/>
              <w:rPr>
                <w:rFonts w:ascii="方正仿宋_GBK" w:hAnsi="方正仿宋_GBK" w:eastAsia="方正仿宋_GBK" w:cs="方正仿宋_GBK"/>
                <w:color w:val="000000"/>
                <w:szCs w:val="21"/>
                <w:highlight w:val="none"/>
              </w:rPr>
            </w:pPr>
            <w:r>
              <w:rPr>
                <w:rFonts w:hint="eastAsia"/>
                <w:highlight w:val="none"/>
              </w:rPr>
              <w:t>（2</w:t>
            </w:r>
            <w:r>
              <w:rPr>
                <w:highlight w:val="none"/>
              </w:rPr>
              <w:t>0</w:t>
            </w:r>
            <w:r>
              <w:rPr>
                <w:rFonts w:hint="eastAsia"/>
                <w:highlight w:val="none"/>
              </w:rPr>
              <w:t>）</w:t>
            </w:r>
          </w:p>
        </w:tc>
        <w:tc>
          <w:tcPr>
            <w:tcW w:w="4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left"/>
              <w:textAlignment w:val="center"/>
              <w:rPr>
                <w:rFonts w:ascii="方正仿宋_GBK" w:hAnsi="方正仿宋_GBK" w:eastAsia="方正仿宋_GBK" w:cs="方正仿宋_GBK"/>
                <w:color w:val="000000"/>
                <w:szCs w:val="21"/>
                <w:highlight w:val="none"/>
              </w:rPr>
            </w:pPr>
            <w:r>
              <w:rPr>
                <w:rFonts w:hint="eastAsia" w:ascii="方正仿宋_GBK" w:hAnsi="方正仿宋_GBK" w:eastAsia="方正仿宋_GBK" w:cs="方正仿宋_GBK"/>
                <w:b/>
                <w:color w:val="000000"/>
                <w:kern w:val="0"/>
                <w:szCs w:val="21"/>
                <w:highlight w:val="none"/>
              </w:rPr>
              <w:t>全国承销业绩</w:t>
            </w:r>
            <w:r>
              <w:rPr>
                <w:rFonts w:hint="eastAsia" w:ascii="方正仿宋_GBK" w:hAnsi="方正仿宋_GBK" w:eastAsia="方正仿宋_GBK" w:cs="方正仿宋_GBK"/>
                <w:bCs/>
                <w:color w:val="000000"/>
                <w:kern w:val="0"/>
                <w:szCs w:val="21"/>
                <w:highlight w:val="none"/>
              </w:rPr>
              <w:t>：</w:t>
            </w:r>
            <w:r>
              <w:rPr>
                <w:rFonts w:hint="eastAsia" w:ascii="方正仿宋_GBK" w:hAnsi="方正仿宋_GBK" w:eastAsia="方正仿宋_GBK" w:cs="方正仿宋_GBK"/>
                <w:color w:val="000000"/>
                <w:szCs w:val="21"/>
                <w:highlight w:val="none"/>
              </w:rPr>
              <w:t>以投标人2023年全国范围内交易商协会产品承销业绩绝对排名为准，第1名得10分，第2名得8分，依次每名降低2分，最低为0分。（以Wind口径为准）</w:t>
            </w:r>
          </w:p>
          <w:p>
            <w:pPr>
              <w:widowControl/>
              <w:spacing w:line="280" w:lineRule="exact"/>
              <w:textAlignment w:val="center"/>
              <w:rPr>
                <w:rFonts w:ascii="方正仿宋_GBK" w:hAnsi="方正仿宋_GBK" w:eastAsia="方正仿宋_GBK" w:cs="方正仿宋_GBK"/>
                <w:color w:val="000000"/>
                <w:szCs w:val="21"/>
                <w:highlight w:val="none"/>
              </w:rPr>
            </w:pPr>
          </w:p>
          <w:p>
            <w:pPr>
              <w:widowControl/>
              <w:spacing w:line="280" w:lineRule="exact"/>
              <w:textAlignment w:val="center"/>
              <w:rPr>
                <w:rFonts w:ascii="Times New Roman" w:hAnsi="Times New Roman" w:eastAsia="宋体" w:cs="Times New Roman"/>
                <w:color w:val="auto"/>
                <w:sz w:val="26"/>
                <w:szCs w:val="24"/>
                <w:highlight w:val="none"/>
              </w:rPr>
            </w:pPr>
            <w:r>
              <w:rPr>
                <w:rFonts w:hint="eastAsia" w:ascii="方正仿宋_GBK" w:hAnsi="方正仿宋_GBK" w:eastAsia="方正仿宋_GBK" w:cs="方正仿宋_GBK"/>
                <w:b/>
                <w:color w:val="000000"/>
                <w:kern w:val="0"/>
                <w:szCs w:val="21"/>
                <w:highlight w:val="none"/>
              </w:rPr>
              <w:t>地区承销业绩</w:t>
            </w:r>
            <w:r>
              <w:rPr>
                <w:rFonts w:hint="eastAsia" w:ascii="方正仿宋_GBK" w:hAnsi="方正仿宋_GBK" w:eastAsia="方正仿宋_GBK" w:cs="方正仿宋_GBK"/>
                <w:bCs/>
                <w:color w:val="000000"/>
                <w:kern w:val="0"/>
                <w:szCs w:val="21"/>
                <w:highlight w:val="none"/>
              </w:rPr>
              <w:t>：</w:t>
            </w:r>
            <w:r>
              <w:rPr>
                <w:rFonts w:hint="eastAsia" w:ascii="方正仿宋_GBK" w:hAnsi="方正仿宋_GBK" w:eastAsia="方正仿宋_GBK" w:cs="方正仿宋_GBK"/>
                <w:color w:val="000000"/>
                <w:szCs w:val="21"/>
                <w:highlight w:val="none"/>
              </w:rPr>
              <w:t>以投标人2023年重庆市范围内交易商协会产品承销绝对排名为准，第1名得10分，第2名得8分，依次每名降低2分，最低为0分。（以Wind口径为准）</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rPr>
                <w:rFonts w:ascii="方正仿宋_GBK" w:hAnsi="方正仿宋_GBK" w:eastAsia="方正仿宋_GBK" w:cs="方正仿宋_GBK"/>
                <w:color w:val="00000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left"/>
              <w:textAlignment w:val="center"/>
              <w:rPr>
                <w:rFonts w:ascii="方正仿宋_GBK" w:hAnsi="方正仿宋_GBK" w:eastAsia="方正仿宋_GBK" w:cs="方正仿宋_GBK"/>
                <w:color w:val="000000"/>
                <w:szCs w:val="21"/>
                <w:highlight w:val="none"/>
              </w:rPr>
            </w:pPr>
          </w:p>
        </w:tc>
      </w:tr>
      <w:tr>
        <w:tblPrEx>
          <w:tblCellMar>
            <w:top w:w="0" w:type="dxa"/>
            <w:left w:w="0" w:type="dxa"/>
            <w:bottom w:w="0" w:type="dxa"/>
            <w:right w:w="0" w:type="dxa"/>
          </w:tblCellMar>
        </w:tblPrEx>
        <w:trPr>
          <w:trHeight w:val="1926"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textAlignment w:val="center"/>
              <w:rPr>
                <w:rFonts w:ascii="方正楷体_GBK" w:hAnsi="方正楷体_GBK" w:eastAsia="方正楷体_GBK" w:cs="方正楷体_GBK"/>
                <w:color w:val="000000"/>
                <w:szCs w:val="21"/>
                <w:highlight w:val="none"/>
              </w:rPr>
            </w:pPr>
            <w:r>
              <w:rPr>
                <w:rFonts w:hint="eastAsia" w:ascii="方正楷体_GBK" w:hAnsi="方正楷体_GBK" w:eastAsia="方正楷体_GBK" w:cs="方正楷体_GBK"/>
                <w:color w:val="000000"/>
                <w:szCs w:val="21"/>
                <w:highlight w:val="none"/>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textAlignment w:val="center"/>
              <w:rPr>
                <w:rFonts w:ascii="方正楷体_GBK" w:hAnsi="方正楷体_GBK" w:eastAsia="方正楷体_GBK" w:cs="方正楷体_GBK"/>
                <w:color w:val="000000"/>
                <w:szCs w:val="21"/>
                <w:highlight w:val="none"/>
              </w:rPr>
            </w:pPr>
            <w:r>
              <w:rPr>
                <w:rFonts w:hint="eastAsia"/>
                <w:highlight w:val="none"/>
              </w:rPr>
              <w:t>确保发债资金使用（2</w:t>
            </w:r>
            <w:r>
              <w:rPr>
                <w:highlight w:val="none"/>
              </w:rPr>
              <w:t>0</w:t>
            </w:r>
            <w:r>
              <w:rPr>
                <w:rFonts w:hint="eastAsia"/>
                <w:highlight w:val="none"/>
              </w:rPr>
              <w:t>）</w:t>
            </w:r>
          </w:p>
        </w:tc>
        <w:tc>
          <w:tcPr>
            <w:tcW w:w="4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left"/>
              <w:textAlignment w:val="center"/>
              <w:rPr>
                <w:rFonts w:ascii="方正仿宋_GBK" w:hAnsi="方正仿宋_GBK" w:eastAsia="方正仿宋_GBK" w:cs="方正仿宋_GBK"/>
                <w:color w:val="000000"/>
                <w:szCs w:val="21"/>
                <w:highlight w:val="none"/>
              </w:rPr>
            </w:pPr>
            <w:r>
              <w:rPr>
                <w:rFonts w:hint="eastAsia" w:ascii="方正仿宋_GBK" w:hAnsi="方正仿宋_GBK" w:eastAsia="方正仿宋_GBK" w:cs="方正仿宋_GBK"/>
                <w:color w:val="000000"/>
                <w:szCs w:val="21"/>
                <w:highlight w:val="none"/>
              </w:rPr>
              <w:t>确保发债资金发行人能够使用，能够证明确保使用得20分，不能证明得0分。</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rPr>
                <w:rFonts w:ascii="方正仿宋_GBK" w:hAnsi="方正仿宋_GBK" w:eastAsia="方正仿宋_GBK" w:cs="方正仿宋_GBK"/>
                <w:color w:val="00000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rPr>
                <w:rFonts w:ascii="方正仿宋_GBK" w:hAnsi="方正仿宋_GBK" w:eastAsia="方正仿宋_GBK" w:cs="方正仿宋_GBK"/>
                <w:color w:val="000000"/>
                <w:szCs w:val="21"/>
                <w:highlight w:val="none"/>
              </w:rPr>
            </w:pPr>
          </w:p>
        </w:tc>
      </w:tr>
      <w:tr>
        <w:tblPrEx>
          <w:tblCellMar>
            <w:top w:w="0" w:type="dxa"/>
            <w:left w:w="0" w:type="dxa"/>
            <w:bottom w:w="0" w:type="dxa"/>
            <w:right w:w="0" w:type="dxa"/>
          </w:tblCellMar>
        </w:tblPrEx>
        <w:trPr>
          <w:trHeight w:val="1926"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textAlignment w:val="center"/>
              <w:rPr>
                <w:rFonts w:hint="eastAsia" w:ascii="方正楷体_GBK" w:hAnsi="方正楷体_GBK" w:eastAsia="方正楷体_GBK" w:cs="方正楷体_GBK"/>
                <w:color w:val="000000"/>
                <w:szCs w:val="21"/>
                <w:highlight w:val="none"/>
              </w:rPr>
            </w:pPr>
            <w:r>
              <w:rPr>
                <w:rFonts w:hint="eastAsia" w:ascii="方正楷体_GBK" w:hAnsi="方正楷体_GBK" w:eastAsia="方正楷体_GBK" w:cs="方正楷体_GBK"/>
                <w:color w:val="000000"/>
                <w:szCs w:val="21"/>
                <w:highlight w:val="none"/>
              </w:rPr>
              <w:t>6</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textAlignment w:val="center"/>
              <w:rPr>
                <w:rFonts w:hint="eastAsia"/>
                <w:highlight w:val="none"/>
              </w:rPr>
            </w:pPr>
            <w:r>
              <w:rPr>
                <w:rFonts w:hint="eastAsia"/>
                <w:highlight w:val="none"/>
              </w:rPr>
              <w:t>律所费用（</w:t>
            </w:r>
            <w:r>
              <w:rPr>
                <w:highlight w:val="none"/>
              </w:rPr>
              <w:t>10</w:t>
            </w:r>
            <w:r>
              <w:rPr>
                <w:rFonts w:hint="eastAsia"/>
                <w:highlight w:val="none"/>
              </w:rPr>
              <w:t>）</w:t>
            </w:r>
          </w:p>
        </w:tc>
        <w:tc>
          <w:tcPr>
            <w:tcW w:w="4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textAlignment w:val="center"/>
              <w:rPr>
                <w:rFonts w:ascii="方正仿宋_GBK" w:hAnsi="方正仿宋_GBK" w:eastAsia="方正仿宋_GBK" w:cs="方正仿宋_GBK"/>
                <w:color w:val="000000"/>
                <w:szCs w:val="21"/>
                <w:highlight w:val="none"/>
              </w:rPr>
            </w:pPr>
            <w:r>
              <w:rPr>
                <w:rFonts w:hint="eastAsia" w:ascii="方正仿宋_GBK" w:hAnsi="方正仿宋_GBK" w:eastAsia="方正仿宋_GBK" w:cs="方正仿宋_GBK"/>
                <w:color w:val="000000"/>
                <w:kern w:val="0"/>
                <w:szCs w:val="21"/>
                <w:highlight w:val="none"/>
                <w:lang w:bidi="ar"/>
              </w:rPr>
              <w:t>发债律所及费用由金融机构确定，可由发行人支付律所费用，并在金融机构承销费中扣除。发债律所费用是否由金融机构承担须在方案中说明清楚。</w:t>
            </w:r>
            <w:r>
              <w:rPr>
                <w:rFonts w:hint="eastAsia" w:ascii="方正仿宋_GBK" w:hAnsi="方正仿宋_GBK" w:eastAsia="方正仿宋_GBK" w:cs="方正仿宋_GBK"/>
                <w:color w:val="000000"/>
                <w:szCs w:val="21"/>
                <w:highlight w:val="none"/>
              </w:rPr>
              <w:t>愿意承担发债律所费用得</w:t>
            </w:r>
            <w:r>
              <w:rPr>
                <w:rFonts w:ascii="方正仿宋_GBK" w:hAnsi="方正仿宋_GBK" w:eastAsia="方正仿宋_GBK" w:cs="方正仿宋_GBK"/>
                <w:color w:val="000000"/>
                <w:szCs w:val="21"/>
                <w:highlight w:val="none"/>
              </w:rPr>
              <w:t>10</w:t>
            </w:r>
            <w:r>
              <w:rPr>
                <w:rFonts w:hint="eastAsia" w:ascii="方正仿宋_GBK" w:hAnsi="方正仿宋_GBK" w:eastAsia="方正仿宋_GBK" w:cs="方正仿宋_GBK"/>
                <w:color w:val="000000"/>
                <w:szCs w:val="21"/>
                <w:highlight w:val="none"/>
              </w:rPr>
              <w:t>分，不愿意承担得0分。</w:t>
            </w:r>
          </w:p>
          <w:p>
            <w:pPr>
              <w:widowControl/>
              <w:spacing w:line="280" w:lineRule="exact"/>
              <w:jc w:val="left"/>
              <w:textAlignment w:val="center"/>
              <w:rPr>
                <w:rFonts w:hint="eastAsia" w:ascii="方正仿宋_GBK" w:hAnsi="方正仿宋_GBK" w:eastAsia="方正仿宋_GBK" w:cs="方正仿宋_GBK"/>
                <w:color w:val="00000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rPr>
                <w:rFonts w:ascii="方正仿宋_GBK" w:hAnsi="方正仿宋_GBK" w:eastAsia="方正仿宋_GBK" w:cs="方正仿宋_GBK"/>
                <w:color w:val="00000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rPr>
                <w:rFonts w:ascii="方正仿宋_GBK" w:hAnsi="方正仿宋_GBK" w:eastAsia="方正仿宋_GBK" w:cs="方正仿宋_GBK"/>
                <w:color w:val="000000"/>
                <w:szCs w:val="21"/>
                <w:highlight w:val="none"/>
              </w:rPr>
            </w:pPr>
          </w:p>
        </w:tc>
      </w:tr>
      <w:tr>
        <w:tblPrEx>
          <w:tblCellMar>
            <w:top w:w="0" w:type="dxa"/>
            <w:left w:w="0" w:type="dxa"/>
            <w:bottom w:w="0" w:type="dxa"/>
            <w:right w:w="0" w:type="dxa"/>
          </w:tblCellMar>
        </w:tblPrEx>
        <w:trPr>
          <w:trHeight w:val="1926"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textAlignment w:val="center"/>
              <w:rPr>
                <w:rFonts w:ascii="方正楷体_GBK" w:hAnsi="方正楷体_GBK" w:eastAsia="方正楷体_GBK" w:cs="方正楷体_GBK"/>
                <w:color w:val="000000"/>
                <w:szCs w:val="21"/>
                <w:highlight w:val="none"/>
              </w:rPr>
            </w:pPr>
            <w:r>
              <w:rPr>
                <w:rFonts w:hint="eastAsia" w:ascii="方正楷体_GBK" w:hAnsi="方正楷体_GBK" w:eastAsia="方正楷体_GBK" w:cs="方正楷体_GBK"/>
                <w:color w:val="000000"/>
                <w:szCs w:val="21"/>
                <w:highlight w:val="none"/>
              </w:rPr>
              <w:t>合计</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textAlignment w:val="center"/>
              <w:rPr>
                <w:highlight w:val="none"/>
              </w:rPr>
            </w:pPr>
            <w:r>
              <w:rPr>
                <w:rFonts w:hint="eastAsia"/>
                <w:highlight w:val="none"/>
              </w:rPr>
              <w:t>1</w:t>
            </w:r>
            <w:r>
              <w:rPr>
                <w:highlight w:val="none"/>
              </w:rPr>
              <w:t>00</w:t>
            </w:r>
          </w:p>
        </w:tc>
        <w:tc>
          <w:tcPr>
            <w:tcW w:w="4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left"/>
              <w:textAlignment w:val="center"/>
              <w:rPr>
                <w:rFonts w:ascii="方正仿宋_GBK" w:hAnsi="方正仿宋_GBK" w:eastAsia="方正仿宋_GBK" w:cs="方正仿宋_GBK"/>
                <w:color w:val="00000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rPr>
                <w:rFonts w:ascii="方正仿宋_GBK" w:hAnsi="方正仿宋_GBK" w:eastAsia="方正仿宋_GBK" w:cs="方正仿宋_GBK"/>
                <w:color w:val="00000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rPr>
                <w:rFonts w:ascii="方正仿宋_GBK" w:hAnsi="方正仿宋_GBK" w:eastAsia="方正仿宋_GBK" w:cs="方正仿宋_GBK"/>
                <w:color w:val="000000"/>
                <w:szCs w:val="21"/>
                <w:highlight w:val="none"/>
              </w:rPr>
            </w:pPr>
          </w:p>
        </w:tc>
      </w:tr>
    </w:tbl>
    <w:p>
      <w:pPr>
        <w:pStyle w:val="4"/>
        <w:ind w:left="360" w:hanging="360" w:hangingChars="200"/>
        <w:rPr>
          <w:rFonts w:ascii="仿宋" w:hAnsi="仿宋" w:eastAsia="仿宋" w:cs="仿宋"/>
          <w:b w:val="0"/>
          <w:bCs/>
          <w:sz w:val="18"/>
          <w:szCs w:val="18"/>
          <w:highlight w:val="none"/>
        </w:rPr>
      </w:pPr>
      <w:r>
        <w:rPr>
          <w:rFonts w:hint="eastAsia" w:ascii="仿宋" w:hAnsi="仿宋" w:eastAsia="仿宋" w:cs="仿宋"/>
          <w:b w:val="0"/>
          <w:bCs/>
          <w:sz w:val="18"/>
          <w:szCs w:val="18"/>
          <w:highlight w:val="none"/>
        </w:rPr>
        <w:t xml:space="preserve">                                                                                                                                                                                                                                         </w:t>
      </w:r>
    </w:p>
    <w:p>
      <w:pPr>
        <w:pStyle w:val="4"/>
        <w:rPr>
          <w:highlight w:val="none"/>
        </w:rPr>
      </w:pPr>
      <w:r>
        <w:rPr>
          <w:rFonts w:hint="eastAsia"/>
          <w:highlight w:val="none"/>
        </w:rPr>
        <w:t>附件2：</w:t>
      </w:r>
    </w:p>
    <w:p>
      <w:pPr>
        <w:jc w:val="center"/>
        <w:rPr>
          <w:b/>
          <w:bCs/>
          <w:sz w:val="28"/>
          <w:szCs w:val="28"/>
          <w:highlight w:val="none"/>
        </w:rPr>
      </w:pPr>
      <w:r>
        <w:rPr>
          <w:rFonts w:hint="eastAsia"/>
          <w:b/>
          <w:bCs/>
          <w:sz w:val="28"/>
          <w:szCs w:val="28"/>
          <w:highlight w:val="none"/>
        </w:rPr>
        <w:t>中国银行间市场交易商协会债券承销机构（证券公司）评分表</w:t>
      </w:r>
    </w:p>
    <w:tbl>
      <w:tblPr>
        <w:tblStyle w:val="26"/>
        <w:tblW w:w="8976" w:type="dxa"/>
        <w:tblInd w:w="-170" w:type="dxa"/>
        <w:tblLayout w:type="fixed"/>
        <w:tblCellMar>
          <w:top w:w="0" w:type="dxa"/>
          <w:left w:w="0" w:type="dxa"/>
          <w:bottom w:w="0" w:type="dxa"/>
          <w:right w:w="0" w:type="dxa"/>
        </w:tblCellMar>
      </w:tblPr>
      <w:tblGrid>
        <w:gridCol w:w="876"/>
        <w:gridCol w:w="1416"/>
        <w:gridCol w:w="4668"/>
        <w:gridCol w:w="1008"/>
        <w:gridCol w:w="1008"/>
      </w:tblGrid>
      <w:tr>
        <w:tblPrEx>
          <w:tblCellMar>
            <w:top w:w="0" w:type="dxa"/>
            <w:left w:w="0" w:type="dxa"/>
            <w:bottom w:w="0" w:type="dxa"/>
            <w:right w:w="0" w:type="dxa"/>
          </w:tblCellMar>
        </w:tblPrEx>
        <w:trPr>
          <w:trHeight w:val="368" w:hRule="atLeast"/>
        </w:trPr>
        <w:tc>
          <w:tcPr>
            <w:tcW w:w="876" w:type="dxa"/>
            <w:tcBorders>
              <w:top w:val="single" w:color="000000" w:sz="4" w:space="0"/>
              <w:left w:val="single" w:color="000000" w:sz="4" w:space="0"/>
              <w:bottom w:val="single" w:color="000000" w:sz="4" w:space="0"/>
              <w:right w:val="single" w:color="000000" w:sz="4" w:space="0"/>
            </w:tcBorders>
            <w:shd w:val="clear" w:color="auto" w:fill="BFBFBF"/>
            <w:tcMar>
              <w:top w:w="12" w:type="dxa"/>
              <w:left w:w="12" w:type="dxa"/>
              <w:right w:w="12" w:type="dxa"/>
            </w:tcMar>
            <w:vAlign w:val="center"/>
          </w:tcPr>
          <w:p>
            <w:pPr>
              <w:widowControl/>
              <w:jc w:val="center"/>
              <w:textAlignment w:val="center"/>
              <w:rPr>
                <w:rFonts w:ascii="方正黑体_GBK" w:hAnsi="方正黑体_GBK" w:eastAsia="方正黑体_GBK" w:cs="方正黑体_GBK"/>
                <w:b/>
                <w:color w:val="000000"/>
                <w:szCs w:val="21"/>
                <w:highlight w:val="none"/>
              </w:rPr>
            </w:pPr>
            <w:r>
              <w:rPr>
                <w:rFonts w:hint="eastAsia" w:ascii="方正黑体_GBK" w:hAnsi="方正黑体_GBK" w:eastAsia="方正黑体_GBK" w:cs="方正黑体_GBK"/>
                <w:b/>
                <w:color w:val="000000"/>
                <w:kern w:val="0"/>
                <w:szCs w:val="21"/>
                <w:highlight w:val="none"/>
                <w:lang w:bidi="ar"/>
              </w:rPr>
              <w:t>序号</w:t>
            </w:r>
          </w:p>
        </w:tc>
        <w:tc>
          <w:tcPr>
            <w:tcW w:w="1416" w:type="dxa"/>
            <w:tcBorders>
              <w:top w:val="single" w:color="000000" w:sz="4" w:space="0"/>
              <w:left w:val="single" w:color="000000" w:sz="4" w:space="0"/>
              <w:bottom w:val="single" w:color="000000" w:sz="4" w:space="0"/>
              <w:right w:val="single" w:color="000000" w:sz="4" w:space="0"/>
            </w:tcBorders>
            <w:shd w:val="clear" w:color="auto" w:fill="BFBFBF"/>
            <w:tcMar>
              <w:top w:w="12" w:type="dxa"/>
              <w:left w:w="12" w:type="dxa"/>
              <w:right w:w="12" w:type="dxa"/>
            </w:tcMar>
            <w:vAlign w:val="center"/>
          </w:tcPr>
          <w:p>
            <w:pPr>
              <w:widowControl/>
              <w:jc w:val="center"/>
              <w:textAlignment w:val="center"/>
              <w:rPr>
                <w:rFonts w:ascii="方正黑体_GBK" w:hAnsi="方正黑体_GBK" w:eastAsia="方正黑体_GBK" w:cs="方正黑体_GBK"/>
                <w:b/>
                <w:color w:val="000000"/>
                <w:szCs w:val="21"/>
                <w:highlight w:val="none"/>
              </w:rPr>
            </w:pPr>
            <w:r>
              <w:rPr>
                <w:rFonts w:hint="eastAsia" w:ascii="方正黑体_GBK" w:hAnsi="方正黑体_GBK" w:eastAsia="方正黑体_GBK" w:cs="方正黑体_GBK"/>
                <w:b/>
                <w:color w:val="000000"/>
                <w:kern w:val="0"/>
                <w:szCs w:val="21"/>
                <w:highlight w:val="none"/>
                <w:lang w:bidi="ar"/>
              </w:rPr>
              <w:t>评分项目</w:t>
            </w:r>
          </w:p>
        </w:tc>
        <w:tc>
          <w:tcPr>
            <w:tcW w:w="4668" w:type="dxa"/>
            <w:tcBorders>
              <w:top w:val="single" w:color="000000" w:sz="4" w:space="0"/>
              <w:left w:val="single" w:color="000000" w:sz="4" w:space="0"/>
              <w:bottom w:val="single" w:color="000000" w:sz="4" w:space="0"/>
              <w:right w:val="single" w:color="000000" w:sz="4" w:space="0"/>
            </w:tcBorders>
            <w:shd w:val="clear" w:color="auto" w:fill="BFBFBF"/>
            <w:tcMar>
              <w:top w:w="12" w:type="dxa"/>
              <w:left w:w="12" w:type="dxa"/>
              <w:right w:w="12" w:type="dxa"/>
            </w:tcMar>
            <w:vAlign w:val="center"/>
          </w:tcPr>
          <w:p>
            <w:pPr>
              <w:widowControl/>
              <w:jc w:val="center"/>
              <w:textAlignment w:val="center"/>
              <w:rPr>
                <w:rFonts w:ascii="方正黑体_GBK" w:hAnsi="方正黑体_GBK" w:eastAsia="方正黑体_GBK" w:cs="方正黑体_GBK"/>
                <w:b/>
                <w:color w:val="000000"/>
                <w:szCs w:val="21"/>
                <w:highlight w:val="none"/>
              </w:rPr>
            </w:pPr>
            <w:r>
              <w:rPr>
                <w:rFonts w:hint="eastAsia" w:ascii="方正黑体_GBK" w:hAnsi="方正黑体_GBK" w:eastAsia="方正黑体_GBK" w:cs="方正黑体_GBK"/>
                <w:b/>
                <w:color w:val="000000"/>
                <w:kern w:val="0"/>
                <w:szCs w:val="21"/>
                <w:highlight w:val="none"/>
                <w:lang w:bidi="ar"/>
              </w:rPr>
              <w:t>评分标准</w:t>
            </w:r>
          </w:p>
        </w:tc>
        <w:tc>
          <w:tcPr>
            <w:tcW w:w="1008" w:type="dxa"/>
            <w:tcBorders>
              <w:top w:val="single" w:color="000000" w:sz="4" w:space="0"/>
              <w:left w:val="single" w:color="000000" w:sz="4" w:space="0"/>
              <w:bottom w:val="single" w:color="000000" w:sz="4" w:space="0"/>
              <w:right w:val="single" w:color="000000" w:sz="4" w:space="0"/>
            </w:tcBorders>
            <w:shd w:val="clear" w:color="auto" w:fill="BFBFBF"/>
            <w:tcMar>
              <w:top w:w="12" w:type="dxa"/>
              <w:left w:w="12" w:type="dxa"/>
              <w:right w:w="12" w:type="dxa"/>
            </w:tcMar>
            <w:vAlign w:val="center"/>
          </w:tcPr>
          <w:p>
            <w:pPr>
              <w:widowControl/>
              <w:jc w:val="center"/>
              <w:textAlignment w:val="center"/>
              <w:rPr>
                <w:rFonts w:ascii="方正黑体_GBK" w:hAnsi="方正黑体_GBK" w:eastAsia="方正黑体_GBK" w:cs="方正黑体_GBK"/>
                <w:color w:val="000000"/>
                <w:szCs w:val="21"/>
                <w:highlight w:val="none"/>
              </w:rPr>
            </w:pPr>
            <w:r>
              <w:rPr>
                <w:rFonts w:hint="eastAsia" w:ascii="方正黑体_GBK" w:hAnsi="方正黑体_GBK" w:eastAsia="方正黑体_GBK" w:cs="方正黑体_GBK"/>
                <w:color w:val="000000"/>
                <w:kern w:val="0"/>
                <w:szCs w:val="21"/>
                <w:highlight w:val="none"/>
                <w:lang w:bidi="ar"/>
              </w:rPr>
              <w:t>得分</w:t>
            </w:r>
          </w:p>
        </w:tc>
        <w:tc>
          <w:tcPr>
            <w:tcW w:w="1008" w:type="dxa"/>
            <w:tcBorders>
              <w:top w:val="single" w:color="000000" w:sz="4" w:space="0"/>
              <w:left w:val="single" w:color="000000" w:sz="4" w:space="0"/>
              <w:bottom w:val="single" w:color="000000" w:sz="4" w:space="0"/>
              <w:right w:val="single" w:color="000000" w:sz="4" w:space="0"/>
            </w:tcBorders>
            <w:shd w:val="clear" w:color="auto" w:fill="BFBFBF"/>
            <w:tcMar>
              <w:top w:w="12" w:type="dxa"/>
              <w:left w:w="12" w:type="dxa"/>
              <w:right w:w="12" w:type="dxa"/>
            </w:tcMar>
            <w:vAlign w:val="center"/>
          </w:tcPr>
          <w:p>
            <w:pPr>
              <w:widowControl/>
              <w:jc w:val="center"/>
              <w:textAlignment w:val="center"/>
              <w:rPr>
                <w:rFonts w:ascii="方正黑体_GBK" w:hAnsi="方正黑体_GBK" w:eastAsia="方正黑体_GBK" w:cs="方正黑体_GBK"/>
                <w:color w:val="000000"/>
                <w:szCs w:val="21"/>
                <w:highlight w:val="none"/>
              </w:rPr>
            </w:pPr>
            <w:r>
              <w:rPr>
                <w:rFonts w:hint="eastAsia" w:ascii="方正黑体_GBK" w:hAnsi="方正黑体_GBK" w:eastAsia="方正黑体_GBK" w:cs="方正黑体_GBK"/>
                <w:color w:val="000000"/>
                <w:kern w:val="0"/>
                <w:szCs w:val="21"/>
                <w:highlight w:val="none"/>
                <w:lang w:bidi="ar"/>
              </w:rPr>
              <w:t>备注</w:t>
            </w:r>
          </w:p>
        </w:tc>
      </w:tr>
      <w:tr>
        <w:tblPrEx>
          <w:tblCellMar>
            <w:top w:w="0" w:type="dxa"/>
            <w:left w:w="0" w:type="dxa"/>
            <w:bottom w:w="0" w:type="dxa"/>
            <w:right w:w="0" w:type="dxa"/>
          </w:tblCellMar>
        </w:tblPrEx>
        <w:trPr>
          <w:trHeight w:val="122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textAlignment w:val="center"/>
              <w:rPr>
                <w:rFonts w:ascii="方正楷体_GBK" w:hAnsi="方正楷体_GBK" w:eastAsia="方正楷体_GBK" w:cs="方正楷体_GBK"/>
                <w:color w:val="000000"/>
                <w:szCs w:val="21"/>
                <w:highlight w:val="none"/>
              </w:rPr>
            </w:pPr>
            <w:r>
              <w:rPr>
                <w:rFonts w:hint="eastAsia" w:ascii="方正楷体_GBK" w:hAnsi="方正楷体_GBK" w:eastAsia="方正楷体_GBK" w:cs="方正楷体_GBK"/>
                <w:color w:val="000000"/>
                <w:kern w:val="0"/>
                <w:szCs w:val="21"/>
                <w:highlight w:val="none"/>
                <w:lang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textAlignment w:val="center"/>
              <w:rPr>
                <w:highlight w:val="none"/>
              </w:rPr>
            </w:pPr>
            <w:r>
              <w:rPr>
                <w:rFonts w:hint="eastAsia"/>
                <w:highlight w:val="none"/>
              </w:rPr>
              <w:t>承销费率</w:t>
            </w:r>
          </w:p>
          <w:p>
            <w:pPr>
              <w:widowControl/>
              <w:spacing w:line="280" w:lineRule="exact"/>
              <w:jc w:val="center"/>
              <w:textAlignment w:val="center"/>
              <w:rPr>
                <w:rFonts w:ascii="方正楷体_GBK" w:hAnsi="方正楷体_GBK" w:eastAsia="方正楷体_GBK" w:cs="方正楷体_GBK"/>
                <w:color w:val="000000"/>
                <w:szCs w:val="21"/>
                <w:highlight w:val="none"/>
              </w:rPr>
            </w:pPr>
            <w:r>
              <w:rPr>
                <w:rFonts w:hint="eastAsia"/>
                <w:highlight w:val="none"/>
                <w:lang w:bidi="ar"/>
              </w:rPr>
              <w:t>（20）</w:t>
            </w:r>
          </w:p>
        </w:tc>
        <w:tc>
          <w:tcPr>
            <w:tcW w:w="4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textAlignment w:val="center"/>
              <w:rPr>
                <w:rFonts w:ascii="方正仿宋_GBK" w:hAnsi="方正仿宋_GBK" w:eastAsia="方正仿宋_GBK" w:cs="方正仿宋_GBK"/>
                <w:color w:val="000000"/>
                <w:szCs w:val="21"/>
                <w:highlight w:val="none"/>
              </w:rPr>
            </w:pPr>
            <w:r>
              <w:rPr>
                <w:rFonts w:hint="eastAsia" w:ascii="方正仿宋_GBK" w:hAnsi="方正仿宋_GBK" w:eastAsia="方正仿宋_GBK" w:cs="方正仿宋_GBK"/>
                <w:color w:val="000000"/>
                <w:kern w:val="0"/>
                <w:szCs w:val="21"/>
                <w:highlight w:val="none"/>
                <w:lang w:bidi="ar"/>
              </w:rPr>
              <w:t>满分20分，年承销费率以0.1%/年为基准，低于0.1%/年仍得20分，不另外加分。若承销费率高于0.1%/年，按照1%及其整数倍递增，每增加1%，得分扣减5分，直至扣至0分。不是按整数倍递增的，四舍五入计算整数倍。不同意承销费率按年支付安排的，得0分。</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rPr>
                <w:rFonts w:ascii="方正仿宋_GBK" w:hAnsi="方正仿宋_GBK" w:eastAsia="方正仿宋_GBK" w:cs="方正仿宋_GBK"/>
                <w:color w:val="00000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rPr>
                <w:rFonts w:ascii="方正仿宋_GBK" w:hAnsi="方正仿宋_GBK" w:eastAsia="方正仿宋_GBK" w:cs="方正仿宋_GBK"/>
                <w:color w:val="000000"/>
                <w:szCs w:val="21"/>
                <w:highlight w:val="none"/>
              </w:rPr>
            </w:pPr>
          </w:p>
        </w:tc>
      </w:tr>
      <w:tr>
        <w:tblPrEx>
          <w:tblCellMar>
            <w:top w:w="0" w:type="dxa"/>
            <w:left w:w="0" w:type="dxa"/>
            <w:bottom w:w="0" w:type="dxa"/>
            <w:right w:w="0" w:type="dxa"/>
          </w:tblCellMar>
        </w:tblPrEx>
        <w:trPr>
          <w:trHeight w:val="854"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textAlignment w:val="center"/>
              <w:rPr>
                <w:rFonts w:ascii="方正楷体_GBK" w:hAnsi="方正楷体_GBK" w:eastAsia="方正楷体_GBK" w:cs="方正楷体_GBK"/>
                <w:color w:val="000000"/>
                <w:szCs w:val="21"/>
                <w:highlight w:val="none"/>
              </w:rPr>
            </w:pPr>
            <w:r>
              <w:rPr>
                <w:rFonts w:hint="eastAsia" w:ascii="方正楷体_GBK" w:hAnsi="方正楷体_GBK" w:eastAsia="方正楷体_GBK" w:cs="方正楷体_GBK"/>
                <w:color w:val="000000"/>
                <w:kern w:val="0"/>
                <w:szCs w:val="21"/>
                <w:highlight w:val="none"/>
                <w:lang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textAlignment w:val="center"/>
              <w:rPr>
                <w:highlight w:val="none"/>
                <w:lang w:bidi="ar"/>
              </w:rPr>
            </w:pPr>
            <w:r>
              <w:rPr>
                <w:rFonts w:hint="eastAsia"/>
                <w:highlight w:val="none"/>
                <w:lang w:bidi="ar"/>
              </w:rPr>
              <w:t>承销规模</w:t>
            </w:r>
          </w:p>
          <w:p>
            <w:pPr>
              <w:widowControl/>
              <w:spacing w:line="280" w:lineRule="exact"/>
              <w:jc w:val="center"/>
              <w:textAlignment w:val="center"/>
              <w:rPr>
                <w:highlight w:val="none"/>
              </w:rPr>
            </w:pPr>
            <w:r>
              <w:rPr>
                <w:rFonts w:hint="eastAsia"/>
                <w:highlight w:val="none"/>
                <w:lang w:bidi="ar"/>
              </w:rPr>
              <w:t>（</w:t>
            </w:r>
            <w:r>
              <w:rPr>
                <w:highlight w:val="none"/>
                <w:lang w:bidi="ar"/>
              </w:rPr>
              <w:t>3</w:t>
            </w:r>
            <w:r>
              <w:rPr>
                <w:rFonts w:hint="eastAsia"/>
                <w:highlight w:val="none"/>
                <w:lang w:bidi="ar"/>
              </w:rPr>
              <w:t>0）</w:t>
            </w:r>
          </w:p>
        </w:tc>
        <w:tc>
          <w:tcPr>
            <w:tcW w:w="4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left"/>
              <w:textAlignment w:val="center"/>
              <w:rPr>
                <w:rFonts w:ascii="方正仿宋_GBK" w:hAnsi="方正仿宋_GBK" w:eastAsia="方正仿宋_GBK" w:cs="方正仿宋_GBK"/>
                <w:bCs/>
                <w:color w:val="000000"/>
                <w:kern w:val="0"/>
                <w:szCs w:val="21"/>
                <w:highlight w:val="none"/>
              </w:rPr>
            </w:pPr>
            <w:r>
              <w:rPr>
                <w:rStyle w:val="74"/>
                <w:rFonts w:hint="default"/>
                <w:sz w:val="21"/>
                <w:szCs w:val="21"/>
                <w:highlight w:val="none"/>
              </w:rPr>
              <w:t>总承销业绩</w:t>
            </w:r>
            <w:r>
              <w:rPr>
                <w:rStyle w:val="74"/>
                <w:rFonts w:hint="default"/>
                <w:b w:val="0"/>
                <w:bCs/>
                <w:sz w:val="21"/>
                <w:szCs w:val="21"/>
                <w:highlight w:val="none"/>
              </w:rPr>
              <w:t>：</w:t>
            </w:r>
            <w:r>
              <w:rPr>
                <w:rFonts w:hint="eastAsia" w:ascii="方正仿宋_GBK" w:hAnsi="方正仿宋_GBK" w:eastAsia="方正仿宋_GBK" w:cs="方正仿宋_GBK"/>
                <w:color w:val="000000"/>
                <w:szCs w:val="21"/>
                <w:highlight w:val="none"/>
              </w:rPr>
              <w:t>以投标人2023年全国范围内全口径债券承销业绩绝对排名为准，第1名得10分，第2名得</w:t>
            </w:r>
            <w:r>
              <w:rPr>
                <w:rFonts w:hint="eastAsia" w:ascii="方正仿宋_GBK" w:hAnsi="方正仿宋_GBK" w:eastAsia="方正仿宋_GBK" w:cs="方正仿宋_GBK"/>
                <w:color w:val="000000"/>
                <w:szCs w:val="21"/>
                <w:highlight w:val="none"/>
                <w:lang w:val="en-US" w:eastAsia="zh-CN"/>
              </w:rPr>
              <w:t>5</w:t>
            </w:r>
            <w:r>
              <w:rPr>
                <w:rFonts w:hint="eastAsia" w:ascii="方正仿宋_GBK" w:hAnsi="方正仿宋_GBK" w:eastAsia="方正仿宋_GBK" w:cs="方正仿宋_GBK"/>
                <w:color w:val="000000"/>
                <w:szCs w:val="21"/>
                <w:highlight w:val="none"/>
              </w:rPr>
              <w:t>分，</w:t>
            </w:r>
            <w:r>
              <w:rPr>
                <w:rFonts w:hint="eastAsia" w:ascii="方正仿宋_GBK" w:hAnsi="方正仿宋_GBK" w:eastAsia="方正仿宋_GBK" w:cs="方正仿宋_GBK"/>
                <w:color w:val="000000"/>
                <w:szCs w:val="21"/>
                <w:highlight w:val="none"/>
                <w:lang w:val="en-US" w:eastAsia="zh-CN"/>
              </w:rPr>
              <w:t>第3名得3</w:t>
            </w:r>
            <w:r>
              <w:rPr>
                <w:rFonts w:hint="eastAsia" w:ascii="方正仿宋_GBK" w:hAnsi="方正仿宋_GBK" w:eastAsia="方正仿宋_GBK" w:cs="方正仿宋_GBK"/>
                <w:color w:val="000000"/>
                <w:szCs w:val="21"/>
                <w:highlight w:val="none"/>
              </w:rPr>
              <w:t>分，</w:t>
            </w:r>
            <w:r>
              <w:rPr>
                <w:rFonts w:hint="eastAsia" w:ascii="方正仿宋_GBK" w:hAnsi="方正仿宋_GBK" w:eastAsia="方正仿宋_GBK" w:cs="方正仿宋_GBK"/>
                <w:color w:val="000000"/>
                <w:szCs w:val="21"/>
                <w:highlight w:val="none"/>
                <w:lang w:val="en-US" w:eastAsia="zh-CN"/>
              </w:rPr>
              <w:t>其余不得分</w:t>
            </w:r>
            <w:r>
              <w:rPr>
                <w:rFonts w:hint="eastAsia" w:ascii="方正仿宋_GBK" w:hAnsi="方正仿宋_GBK" w:eastAsia="方正仿宋_GBK" w:cs="方正仿宋_GBK"/>
                <w:color w:val="000000"/>
                <w:szCs w:val="21"/>
                <w:highlight w:val="none"/>
              </w:rPr>
              <w:t>。（以Wind口径为准）</w:t>
            </w:r>
          </w:p>
          <w:p>
            <w:pPr>
              <w:widowControl/>
              <w:spacing w:line="280" w:lineRule="exact"/>
              <w:jc w:val="left"/>
              <w:textAlignment w:val="center"/>
              <w:rPr>
                <w:rFonts w:ascii="方正仿宋_GBK" w:hAnsi="方正仿宋_GBK" w:eastAsia="方正仿宋_GBK" w:cs="方正仿宋_GBK"/>
                <w:color w:val="000000"/>
                <w:szCs w:val="21"/>
                <w:highlight w:val="none"/>
              </w:rPr>
            </w:pPr>
            <w:r>
              <w:rPr>
                <w:rFonts w:hint="eastAsia" w:ascii="方正仿宋_GBK" w:hAnsi="方正仿宋_GBK" w:eastAsia="方正仿宋_GBK" w:cs="方正仿宋_GBK"/>
                <w:b/>
                <w:color w:val="000000"/>
                <w:kern w:val="0"/>
                <w:szCs w:val="21"/>
                <w:highlight w:val="none"/>
              </w:rPr>
              <w:t>地区承销业绩</w:t>
            </w:r>
            <w:r>
              <w:rPr>
                <w:rFonts w:hint="eastAsia" w:ascii="方正仿宋_GBK" w:hAnsi="方正仿宋_GBK" w:eastAsia="方正仿宋_GBK" w:cs="方正仿宋_GBK"/>
                <w:bCs/>
                <w:color w:val="000000"/>
                <w:kern w:val="0"/>
                <w:szCs w:val="21"/>
                <w:highlight w:val="none"/>
              </w:rPr>
              <w:t>：</w:t>
            </w:r>
            <w:r>
              <w:rPr>
                <w:rFonts w:hint="eastAsia" w:ascii="方正仿宋_GBK" w:hAnsi="方正仿宋_GBK" w:eastAsia="方正仿宋_GBK" w:cs="方正仿宋_GBK"/>
                <w:color w:val="000000"/>
                <w:szCs w:val="21"/>
                <w:highlight w:val="none"/>
              </w:rPr>
              <w:t>以投标人2023年重庆市范围内全口径债券承销业绩绝对排名为准，第1名得10分，第2名得5分，第3名得3分，其余不得分。（以Wind口径为准）</w:t>
            </w:r>
          </w:p>
          <w:p>
            <w:pPr>
              <w:widowControl/>
              <w:spacing w:line="280" w:lineRule="exact"/>
              <w:jc w:val="left"/>
              <w:textAlignment w:val="center"/>
              <w:rPr>
                <w:highlight w:val="none"/>
              </w:rPr>
            </w:pPr>
            <w:r>
              <w:rPr>
                <w:rFonts w:hint="eastAsia" w:ascii="方正仿宋_GBK" w:hAnsi="方正仿宋_GBK" w:eastAsia="方正仿宋_GBK" w:cs="方正仿宋_GBK"/>
                <w:b/>
                <w:color w:val="000000"/>
                <w:kern w:val="0"/>
                <w:szCs w:val="21"/>
                <w:highlight w:val="none"/>
              </w:rPr>
              <w:t>地区短融承销业绩</w:t>
            </w:r>
            <w:r>
              <w:rPr>
                <w:rFonts w:hint="eastAsia" w:ascii="方正仿宋_GBK" w:hAnsi="方正仿宋_GBK" w:eastAsia="方正仿宋_GBK" w:cs="方正仿宋_GBK"/>
                <w:bCs/>
                <w:color w:val="000000"/>
                <w:kern w:val="0"/>
                <w:szCs w:val="21"/>
                <w:highlight w:val="none"/>
              </w:rPr>
              <w:t>：</w:t>
            </w:r>
            <w:r>
              <w:rPr>
                <w:rFonts w:hint="eastAsia" w:ascii="方正仿宋_GBK" w:hAnsi="方正仿宋_GBK" w:eastAsia="方正仿宋_GBK" w:cs="方正仿宋_GBK"/>
                <w:color w:val="000000"/>
                <w:szCs w:val="21"/>
                <w:highlight w:val="none"/>
              </w:rPr>
              <w:t>以投标人2023年重庆市范围内短融及超短融产品承销绝对排名为准，</w:t>
            </w:r>
            <w:r>
              <w:rPr>
                <w:rFonts w:hint="eastAsia" w:ascii="方正仿宋_GBK" w:hAnsi="方正仿宋_GBK" w:eastAsia="方正仿宋_GBK" w:cs="方正仿宋_GBK"/>
                <w:color w:val="000000"/>
                <w:sz w:val="21"/>
                <w:szCs w:val="21"/>
                <w:highlight w:val="none"/>
              </w:rPr>
              <w:t>第1名得10分，第2名得5分，第3名得3分，其余不得分</w:t>
            </w:r>
            <w:r>
              <w:rPr>
                <w:rFonts w:hint="eastAsia" w:ascii="方正仿宋_GBK" w:hAnsi="方正仿宋_GBK" w:eastAsia="方正仿宋_GBK" w:cs="方正仿宋_GBK"/>
                <w:color w:val="000000"/>
                <w:szCs w:val="21"/>
                <w:highlight w:val="none"/>
              </w:rPr>
              <w:t>。（以Wind口径为准）</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rPr>
                <w:rFonts w:ascii="方正仿宋_GBK" w:hAnsi="方正仿宋_GBK" w:eastAsia="方正仿宋_GBK" w:cs="方正仿宋_GBK"/>
                <w:color w:val="00000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rPr>
                <w:rFonts w:ascii="方正仿宋_GBK" w:hAnsi="方正仿宋_GBK" w:eastAsia="方正仿宋_GBK" w:cs="方正仿宋_GBK"/>
                <w:color w:val="000000"/>
                <w:szCs w:val="21"/>
                <w:highlight w:val="none"/>
              </w:rPr>
            </w:pPr>
          </w:p>
        </w:tc>
      </w:tr>
      <w:tr>
        <w:tblPrEx>
          <w:tblCellMar>
            <w:top w:w="0" w:type="dxa"/>
            <w:left w:w="0" w:type="dxa"/>
            <w:bottom w:w="0" w:type="dxa"/>
            <w:right w:w="0" w:type="dxa"/>
          </w:tblCellMar>
        </w:tblPrEx>
        <w:trPr>
          <w:trHeight w:val="87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textAlignment w:val="center"/>
              <w:rPr>
                <w:rFonts w:ascii="方正楷体_GBK" w:hAnsi="方正楷体_GBK" w:eastAsia="方正楷体_GBK" w:cs="方正楷体_GBK"/>
                <w:color w:val="000000"/>
                <w:szCs w:val="21"/>
                <w:highlight w:val="none"/>
              </w:rPr>
            </w:pPr>
            <w:r>
              <w:rPr>
                <w:rFonts w:hint="eastAsia" w:ascii="方正楷体_GBK" w:hAnsi="方正楷体_GBK" w:eastAsia="方正楷体_GBK" w:cs="方正楷体_GBK"/>
                <w:color w:val="000000"/>
                <w:kern w:val="0"/>
                <w:szCs w:val="21"/>
                <w:highlight w:val="none"/>
                <w:lang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textAlignment w:val="center"/>
              <w:rPr>
                <w:highlight w:val="none"/>
              </w:rPr>
            </w:pPr>
            <w:r>
              <w:rPr>
                <w:rFonts w:hint="eastAsia"/>
                <w:highlight w:val="none"/>
              </w:rPr>
              <w:t>综合实力</w:t>
            </w:r>
          </w:p>
          <w:p>
            <w:pPr>
              <w:widowControl/>
              <w:spacing w:line="280" w:lineRule="exact"/>
              <w:jc w:val="center"/>
              <w:textAlignment w:val="center"/>
              <w:rPr>
                <w:rFonts w:ascii="方正楷体_GBK" w:hAnsi="方正楷体_GBK" w:eastAsia="方正楷体_GBK" w:cs="方正楷体_GBK"/>
                <w:color w:val="000000"/>
                <w:szCs w:val="21"/>
                <w:highlight w:val="none"/>
              </w:rPr>
            </w:pPr>
            <w:r>
              <w:rPr>
                <w:rFonts w:hint="eastAsia"/>
                <w:highlight w:val="none"/>
                <w:lang w:bidi="ar"/>
              </w:rPr>
              <w:t>（20）</w:t>
            </w:r>
          </w:p>
        </w:tc>
        <w:tc>
          <w:tcPr>
            <w:tcW w:w="4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both"/>
              <w:textAlignment w:val="center"/>
              <w:rPr>
                <w:rFonts w:hint="eastAsia" w:ascii="方正仿宋_GBK" w:hAnsi="方正仿宋_GBK" w:eastAsia="方正仿宋_GBK" w:cs="方正仿宋_GBK"/>
                <w:color w:val="000000"/>
                <w:kern w:val="0"/>
                <w:szCs w:val="21"/>
                <w:highlight w:val="none"/>
                <w:lang w:bidi="ar"/>
              </w:rPr>
            </w:pPr>
            <w:r>
              <w:rPr>
                <w:rFonts w:hint="eastAsia" w:ascii="方正仿宋_GBK" w:hAnsi="方正仿宋_GBK" w:eastAsia="方正仿宋_GBK" w:cs="方正仿宋_GBK"/>
                <w:color w:val="000000"/>
                <w:kern w:val="0"/>
                <w:szCs w:val="21"/>
                <w:highlight w:val="none"/>
                <w:lang w:bidi="ar"/>
              </w:rPr>
              <w:t>满分20分，其中：基础分值5分，根据投标主体综</w:t>
            </w:r>
          </w:p>
          <w:p>
            <w:pPr>
              <w:widowControl/>
              <w:spacing w:line="280" w:lineRule="exact"/>
              <w:textAlignment w:val="center"/>
              <w:rPr>
                <w:rFonts w:ascii="方正仿宋_GBK" w:hAnsi="方正仿宋_GBK" w:eastAsia="方正仿宋_GBK" w:cs="方正仿宋_GBK"/>
                <w:color w:val="000000"/>
                <w:szCs w:val="21"/>
                <w:highlight w:val="none"/>
              </w:rPr>
            </w:pPr>
            <w:r>
              <w:rPr>
                <w:rFonts w:hint="eastAsia" w:ascii="方正仿宋_GBK" w:hAnsi="方正仿宋_GBK" w:eastAsia="方正仿宋_GBK" w:cs="方正仿宋_GBK"/>
                <w:color w:val="000000"/>
                <w:kern w:val="0"/>
                <w:szCs w:val="21"/>
                <w:highlight w:val="none"/>
                <w:lang w:bidi="ar"/>
              </w:rPr>
              <w:t>合实力、承销团队进行打分，无负面清单得基础分；加分项包括：交易商协会一般主承销商（3分）、2022年末证券公司净资产全排名（5分）、2022年证券公司私募资产管理月均规模排名（5分）、上市公司（2分）。</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rPr>
                <w:rFonts w:ascii="方正仿宋_GBK" w:hAnsi="方正仿宋_GBK" w:eastAsia="方正仿宋_GBK" w:cs="方正仿宋_GBK"/>
                <w:color w:val="00000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rPr>
                <w:rFonts w:ascii="方正仿宋_GBK" w:hAnsi="方正仿宋_GBK" w:eastAsia="方正仿宋_GBK" w:cs="方正仿宋_GBK"/>
                <w:color w:val="000000"/>
                <w:szCs w:val="21"/>
                <w:highlight w:val="none"/>
              </w:rPr>
            </w:pPr>
          </w:p>
        </w:tc>
      </w:tr>
      <w:tr>
        <w:tblPrEx>
          <w:tblCellMar>
            <w:top w:w="0" w:type="dxa"/>
            <w:left w:w="0" w:type="dxa"/>
            <w:bottom w:w="0" w:type="dxa"/>
            <w:right w:w="0" w:type="dxa"/>
          </w:tblCellMar>
        </w:tblPrEx>
        <w:trPr>
          <w:trHeight w:val="982"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textAlignment w:val="center"/>
              <w:rPr>
                <w:rFonts w:ascii="方正楷体_GBK" w:hAnsi="方正楷体_GBK" w:eastAsia="方正楷体_GBK" w:cs="方正楷体_GBK"/>
                <w:color w:val="000000"/>
                <w:szCs w:val="21"/>
                <w:highlight w:val="none"/>
              </w:rPr>
            </w:pPr>
            <w:r>
              <w:rPr>
                <w:rFonts w:hint="eastAsia" w:ascii="方正楷体_GBK" w:hAnsi="方正楷体_GBK" w:eastAsia="方正楷体_GBK" w:cs="方正楷体_GBK"/>
                <w:color w:val="000000"/>
                <w:kern w:val="0"/>
                <w:szCs w:val="21"/>
                <w:highlight w:val="none"/>
                <w:lang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textAlignment w:val="center"/>
              <w:rPr>
                <w:highlight w:val="none"/>
              </w:rPr>
            </w:pPr>
            <w:r>
              <w:rPr>
                <w:rFonts w:hint="eastAsia"/>
                <w:highlight w:val="none"/>
              </w:rPr>
              <w:t>发行方案</w:t>
            </w:r>
          </w:p>
          <w:p>
            <w:pPr>
              <w:widowControl/>
              <w:spacing w:line="280" w:lineRule="exact"/>
              <w:jc w:val="center"/>
              <w:textAlignment w:val="center"/>
              <w:rPr>
                <w:rFonts w:ascii="方正楷体_GBK" w:hAnsi="方正楷体_GBK" w:eastAsia="方正楷体_GBK" w:cs="方正楷体_GBK"/>
                <w:color w:val="000000"/>
                <w:szCs w:val="21"/>
                <w:highlight w:val="none"/>
              </w:rPr>
            </w:pPr>
            <w:r>
              <w:rPr>
                <w:rFonts w:hint="eastAsia"/>
                <w:highlight w:val="none"/>
                <w:lang w:bidi="ar"/>
              </w:rPr>
              <w:t>（20）</w:t>
            </w:r>
          </w:p>
        </w:tc>
        <w:tc>
          <w:tcPr>
            <w:tcW w:w="4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textAlignment w:val="center"/>
              <w:rPr>
                <w:rFonts w:ascii="方正仿宋_GBK" w:hAnsi="方正仿宋_GBK" w:eastAsia="方正仿宋_GBK" w:cs="方正仿宋_GBK"/>
                <w:color w:val="000000"/>
                <w:kern w:val="0"/>
                <w:szCs w:val="21"/>
                <w:highlight w:val="none"/>
                <w:lang w:bidi="ar"/>
              </w:rPr>
            </w:pPr>
            <w:r>
              <w:rPr>
                <w:rFonts w:hint="eastAsia" w:ascii="方正仿宋_GBK" w:hAnsi="方正仿宋_GBK" w:eastAsia="方正仿宋_GBK" w:cs="方正仿宋_GBK"/>
                <w:color w:val="000000"/>
                <w:kern w:val="0"/>
                <w:szCs w:val="21"/>
                <w:highlight w:val="none"/>
                <w:lang w:bidi="ar"/>
              </w:rPr>
              <w:t>应列出债券发行方案；发行工作时间安排计划表，从组织申报到发行成功每个阶段需要花费的时间预计以及各项工作安排；服务于本次债券发行的团队构成；发行工作完成后的后续工作及服务。满分20分，每缺失一项扣5分。</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rPr>
                <w:rFonts w:ascii="方正仿宋_GBK" w:hAnsi="方正仿宋_GBK" w:eastAsia="方正仿宋_GBK" w:cs="方正仿宋_GBK"/>
                <w:color w:val="00000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rPr>
                <w:rFonts w:ascii="方正仿宋_GBK" w:hAnsi="方正仿宋_GBK" w:eastAsia="方正仿宋_GBK" w:cs="方正仿宋_GBK"/>
                <w:color w:val="000000"/>
                <w:szCs w:val="21"/>
                <w:highlight w:val="none"/>
              </w:rPr>
            </w:pPr>
          </w:p>
        </w:tc>
      </w:tr>
      <w:tr>
        <w:tblPrEx>
          <w:tblCellMar>
            <w:top w:w="0" w:type="dxa"/>
            <w:left w:w="0" w:type="dxa"/>
            <w:bottom w:w="0" w:type="dxa"/>
            <w:right w:w="0" w:type="dxa"/>
          </w:tblCellMar>
        </w:tblPrEx>
        <w:trPr>
          <w:trHeight w:val="982"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textAlignment w:val="center"/>
              <w:rPr>
                <w:rFonts w:hint="eastAsia" w:ascii="方正楷体_GBK" w:hAnsi="方正楷体_GBK" w:eastAsia="方正楷体_GBK" w:cs="方正楷体_GBK"/>
                <w:color w:val="000000"/>
                <w:kern w:val="0"/>
                <w:szCs w:val="21"/>
                <w:highlight w:val="none"/>
                <w:lang w:bidi="ar"/>
              </w:rPr>
            </w:pPr>
            <w:r>
              <w:rPr>
                <w:rFonts w:hint="eastAsia" w:ascii="方正楷体_GBK" w:hAnsi="方正楷体_GBK" w:eastAsia="方正楷体_GBK" w:cs="方正楷体_GBK"/>
                <w:color w:val="000000"/>
                <w:kern w:val="0"/>
                <w:szCs w:val="21"/>
                <w:highlight w:val="none"/>
                <w:lang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textAlignment w:val="center"/>
              <w:rPr>
                <w:rFonts w:hint="eastAsia"/>
                <w:highlight w:val="none"/>
              </w:rPr>
            </w:pPr>
            <w:r>
              <w:rPr>
                <w:rFonts w:hint="eastAsia"/>
                <w:highlight w:val="none"/>
              </w:rPr>
              <w:t>律所费用（</w:t>
            </w:r>
            <w:r>
              <w:rPr>
                <w:highlight w:val="none"/>
              </w:rPr>
              <w:t>10</w:t>
            </w:r>
            <w:r>
              <w:rPr>
                <w:rFonts w:hint="eastAsia"/>
                <w:highlight w:val="none"/>
              </w:rPr>
              <w:t>）</w:t>
            </w:r>
          </w:p>
        </w:tc>
        <w:tc>
          <w:tcPr>
            <w:tcW w:w="4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textAlignment w:val="center"/>
              <w:rPr>
                <w:rFonts w:ascii="方正仿宋_GBK" w:hAnsi="方正仿宋_GBK" w:eastAsia="方正仿宋_GBK" w:cs="方正仿宋_GBK"/>
                <w:color w:val="000000"/>
                <w:szCs w:val="21"/>
                <w:highlight w:val="none"/>
              </w:rPr>
            </w:pPr>
            <w:r>
              <w:rPr>
                <w:rFonts w:hint="eastAsia" w:ascii="方正仿宋_GBK" w:hAnsi="方正仿宋_GBK" w:eastAsia="方正仿宋_GBK" w:cs="方正仿宋_GBK"/>
                <w:color w:val="000000"/>
                <w:kern w:val="0"/>
                <w:szCs w:val="21"/>
                <w:highlight w:val="none"/>
                <w:lang w:bidi="ar"/>
              </w:rPr>
              <w:t>发债律所及费用由金融机构确定，可由发行人支付律所费用，并在金融机构承销费中扣除。发债律所费用是否由金融机构承担须在方案中说明清楚。</w:t>
            </w:r>
            <w:r>
              <w:rPr>
                <w:rFonts w:hint="eastAsia" w:ascii="方正仿宋_GBK" w:hAnsi="方正仿宋_GBK" w:eastAsia="方正仿宋_GBK" w:cs="方正仿宋_GBK"/>
                <w:color w:val="000000"/>
                <w:szCs w:val="21"/>
                <w:highlight w:val="none"/>
              </w:rPr>
              <w:t>愿意承担发债律所费用得</w:t>
            </w:r>
            <w:r>
              <w:rPr>
                <w:rFonts w:ascii="方正仿宋_GBK" w:hAnsi="方正仿宋_GBK" w:eastAsia="方正仿宋_GBK" w:cs="方正仿宋_GBK"/>
                <w:color w:val="000000"/>
                <w:szCs w:val="21"/>
                <w:highlight w:val="none"/>
              </w:rPr>
              <w:t>10</w:t>
            </w:r>
            <w:r>
              <w:rPr>
                <w:rFonts w:hint="eastAsia" w:ascii="方正仿宋_GBK" w:hAnsi="方正仿宋_GBK" w:eastAsia="方正仿宋_GBK" w:cs="方正仿宋_GBK"/>
                <w:color w:val="000000"/>
                <w:szCs w:val="21"/>
                <w:highlight w:val="none"/>
              </w:rPr>
              <w:t>分，不愿意承担得0分。</w:t>
            </w:r>
          </w:p>
          <w:p>
            <w:pPr>
              <w:widowControl/>
              <w:spacing w:line="280" w:lineRule="exact"/>
              <w:textAlignment w:val="center"/>
              <w:rPr>
                <w:rFonts w:hint="eastAsia" w:ascii="方正仿宋_GBK" w:hAnsi="方正仿宋_GBK" w:eastAsia="方正仿宋_GBK" w:cs="方正仿宋_GBK"/>
                <w:color w:val="000000"/>
                <w:kern w:val="0"/>
                <w:szCs w:val="21"/>
                <w:highlight w:val="none"/>
                <w:lang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rPr>
                <w:rFonts w:ascii="方正仿宋_GBK" w:hAnsi="方正仿宋_GBK" w:eastAsia="方正仿宋_GBK" w:cs="方正仿宋_GBK"/>
                <w:color w:val="00000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rPr>
                <w:rFonts w:ascii="方正仿宋_GBK" w:hAnsi="方正仿宋_GBK" w:eastAsia="方正仿宋_GBK" w:cs="方正仿宋_GBK"/>
                <w:color w:val="000000"/>
                <w:szCs w:val="21"/>
                <w:highlight w:val="none"/>
              </w:rPr>
            </w:pPr>
          </w:p>
        </w:tc>
      </w:tr>
      <w:tr>
        <w:tblPrEx>
          <w:tblCellMar>
            <w:top w:w="0" w:type="dxa"/>
            <w:left w:w="0" w:type="dxa"/>
            <w:bottom w:w="0" w:type="dxa"/>
            <w:right w:w="0" w:type="dxa"/>
          </w:tblCellMar>
        </w:tblPrEx>
        <w:trPr>
          <w:trHeight w:val="1926"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textAlignment w:val="center"/>
              <w:rPr>
                <w:rFonts w:ascii="方正楷体_GBK" w:hAnsi="方正楷体_GBK" w:eastAsia="方正楷体_GBK" w:cs="方正楷体_GBK"/>
                <w:color w:val="000000"/>
                <w:szCs w:val="21"/>
                <w:highlight w:val="none"/>
              </w:rPr>
            </w:pPr>
            <w:r>
              <w:rPr>
                <w:rFonts w:hint="eastAsia" w:ascii="方正楷体_GBK" w:hAnsi="方正楷体_GBK" w:eastAsia="方正楷体_GBK" w:cs="方正楷体_GBK"/>
                <w:color w:val="000000"/>
                <w:szCs w:val="21"/>
                <w:highlight w:val="none"/>
              </w:rPr>
              <w:t>合计</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textAlignment w:val="center"/>
              <w:rPr>
                <w:highlight w:val="none"/>
              </w:rPr>
            </w:pPr>
            <w:r>
              <w:rPr>
                <w:rFonts w:hint="eastAsia"/>
                <w:highlight w:val="none"/>
              </w:rPr>
              <w:t>1</w:t>
            </w:r>
            <w:r>
              <w:rPr>
                <w:highlight w:val="none"/>
              </w:rPr>
              <w:t>00</w:t>
            </w:r>
          </w:p>
        </w:tc>
        <w:tc>
          <w:tcPr>
            <w:tcW w:w="4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left"/>
              <w:textAlignment w:val="center"/>
              <w:rPr>
                <w:rFonts w:ascii="方正仿宋_GBK" w:hAnsi="方正仿宋_GBK" w:eastAsia="方正仿宋_GBK" w:cs="方正仿宋_GBK"/>
                <w:color w:val="00000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jc w:val="center"/>
              <w:rPr>
                <w:rFonts w:ascii="方正仿宋_GBK" w:hAnsi="方正仿宋_GBK" w:eastAsia="方正仿宋_GBK" w:cs="方正仿宋_GBK"/>
                <w:color w:val="00000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0" w:lineRule="exact"/>
              <w:rPr>
                <w:rFonts w:ascii="方正仿宋_GBK" w:hAnsi="方正仿宋_GBK" w:eastAsia="方正仿宋_GBK" w:cs="方正仿宋_GBK"/>
                <w:color w:val="000000"/>
                <w:szCs w:val="21"/>
                <w:highlight w:val="none"/>
              </w:rPr>
            </w:pPr>
          </w:p>
        </w:tc>
      </w:tr>
    </w:tbl>
    <w:p>
      <w:pPr>
        <w:pStyle w:val="4"/>
        <w:ind w:left="360" w:hanging="360" w:hangingChars="200"/>
        <w:rPr>
          <w:rFonts w:ascii="仿宋" w:hAnsi="仿宋" w:eastAsia="仿宋" w:cs="仿宋"/>
          <w:b w:val="0"/>
          <w:bCs/>
          <w:sz w:val="18"/>
          <w:szCs w:val="18"/>
          <w:highlight w:val="none"/>
        </w:rPr>
      </w:pPr>
      <w:r>
        <w:rPr>
          <w:rFonts w:hint="eastAsia" w:ascii="仿宋" w:hAnsi="仿宋" w:eastAsia="仿宋" w:cs="仿宋"/>
          <w:b w:val="0"/>
          <w:bCs/>
          <w:sz w:val="18"/>
          <w:szCs w:val="18"/>
          <w:highlight w:val="none"/>
        </w:rPr>
        <w:t xml:space="preserve">                                                                                                                                                                                                                                         </w:t>
      </w:r>
    </w:p>
    <w:p>
      <w:pPr>
        <w:pStyle w:val="4"/>
        <w:ind w:left="360" w:hanging="360" w:hangingChars="200"/>
        <w:rPr>
          <w:rFonts w:ascii="仿宋" w:hAnsi="仿宋" w:eastAsia="仿宋" w:cs="仿宋"/>
          <w:b w:val="0"/>
          <w:bCs/>
          <w:sz w:val="18"/>
          <w:szCs w:val="18"/>
          <w:highlight w:val="none"/>
        </w:rPr>
      </w:pPr>
    </w:p>
    <w:p>
      <w:pPr>
        <w:pStyle w:val="4"/>
        <w:ind w:left="360" w:hanging="360" w:hangingChars="200"/>
        <w:rPr>
          <w:rFonts w:ascii="仿宋" w:hAnsi="仿宋" w:eastAsia="仿宋" w:cs="仿宋"/>
          <w:b w:val="0"/>
          <w:bCs/>
          <w:sz w:val="18"/>
          <w:szCs w:val="18"/>
          <w:highlight w:val="none"/>
        </w:rPr>
      </w:pPr>
    </w:p>
    <w:p>
      <w:pPr>
        <w:pStyle w:val="4"/>
        <w:ind w:left="360" w:hanging="360" w:hangingChars="200"/>
        <w:rPr>
          <w:rFonts w:ascii="仿宋" w:hAnsi="仿宋" w:eastAsia="仿宋" w:cs="仿宋"/>
          <w:b w:val="0"/>
          <w:bCs/>
          <w:sz w:val="18"/>
          <w:szCs w:val="18"/>
          <w:highlight w:val="none"/>
        </w:rPr>
      </w:pPr>
      <w:r>
        <w:rPr>
          <w:rFonts w:hint="eastAsia" w:ascii="仿宋" w:hAnsi="仿宋" w:eastAsia="仿宋" w:cs="仿宋"/>
          <w:b w:val="0"/>
          <w:bCs/>
          <w:sz w:val="18"/>
          <w:szCs w:val="18"/>
          <w:highlight w:val="none"/>
        </w:rPr>
        <w:t xml:space="preserve">                                                         </w:t>
      </w:r>
    </w:p>
    <w:p>
      <w:pPr>
        <w:rPr>
          <w:highlight w:val="none"/>
        </w:rPr>
      </w:pPr>
    </w:p>
    <w:p>
      <w:pPr>
        <w:pStyle w:val="4"/>
        <w:rPr>
          <w:highlight w:val="none"/>
        </w:rPr>
      </w:pPr>
    </w:p>
    <w:p>
      <w:pPr>
        <w:rPr>
          <w:highlight w:val="none"/>
        </w:rPr>
      </w:pPr>
    </w:p>
    <w:p>
      <w:pPr>
        <w:pStyle w:val="4"/>
        <w:rPr>
          <w:highlight w:val="none"/>
        </w:rPr>
      </w:pPr>
    </w:p>
    <w:p>
      <w:pPr>
        <w:pStyle w:val="4"/>
        <w:ind w:left="360" w:hanging="360" w:hangingChars="200"/>
        <w:rPr>
          <w:rFonts w:ascii="仿宋" w:hAnsi="仿宋" w:eastAsia="仿宋" w:cs="仿宋"/>
          <w:b w:val="0"/>
          <w:bCs/>
          <w:sz w:val="18"/>
          <w:szCs w:val="18"/>
          <w:highlight w:val="none"/>
        </w:rPr>
      </w:pPr>
    </w:p>
    <w:p>
      <w:pPr>
        <w:pStyle w:val="4"/>
        <w:ind w:left="360" w:hanging="360" w:hangingChars="200"/>
        <w:rPr>
          <w:rFonts w:ascii="仿宋" w:hAnsi="仿宋" w:eastAsia="仿宋" w:cs="仿宋"/>
          <w:b w:val="0"/>
          <w:bCs/>
          <w:sz w:val="18"/>
          <w:szCs w:val="18"/>
          <w:highlight w:val="none"/>
        </w:rPr>
      </w:pPr>
      <w:r>
        <w:rPr>
          <w:rFonts w:hint="eastAsia" w:ascii="仿宋" w:hAnsi="仿宋" w:eastAsia="仿宋" w:cs="仿宋"/>
          <w:b w:val="0"/>
          <w:bCs/>
          <w:sz w:val="18"/>
          <w:szCs w:val="18"/>
          <w:highlight w:val="none"/>
        </w:rPr>
        <w:t xml:space="preserve">                                                             </w:t>
      </w:r>
    </w:p>
    <w:p>
      <w:pPr>
        <w:rPr>
          <w:rFonts w:ascii="仿宋" w:hAnsi="仿宋" w:eastAsia="仿宋" w:cs="仿宋"/>
          <w:bCs/>
          <w:sz w:val="18"/>
          <w:szCs w:val="18"/>
          <w:highlight w:val="none"/>
        </w:rPr>
      </w:pPr>
    </w:p>
    <w:p>
      <w:pPr>
        <w:numPr>
          <w:ilvl w:val="0"/>
          <w:numId w:val="1"/>
        </w:numPr>
        <w:spacing w:line="360" w:lineRule="auto"/>
        <w:jc w:val="center"/>
        <w:rPr>
          <w:rFonts w:ascii="仿宋_GB2312" w:hAnsi="宋体" w:eastAsia="仿宋_GB2312"/>
          <w:b/>
          <w:sz w:val="36"/>
          <w:highlight w:val="none"/>
        </w:rPr>
      </w:pPr>
      <w:r>
        <w:rPr>
          <w:rFonts w:hint="eastAsia" w:ascii="仿宋_GB2312" w:hAnsi="宋体" w:eastAsia="仿宋_GB2312"/>
          <w:b/>
          <w:sz w:val="36"/>
          <w:highlight w:val="none"/>
        </w:rPr>
        <w:t>投标文件格式</w:t>
      </w:r>
    </w:p>
    <w:p>
      <w:pPr>
        <w:rPr>
          <w:rFonts w:ascii="仿宋_GB2312" w:hAnsi="仿宋_GB2312" w:eastAsia="仿宋_GB2312" w:cs="仿宋_GB2312"/>
          <w:b/>
          <w:sz w:val="32"/>
          <w:highlight w:val="none"/>
        </w:rPr>
      </w:pPr>
    </w:p>
    <w:p>
      <w:pPr>
        <w:rPr>
          <w:rFonts w:ascii="仿宋_GB2312" w:hAnsi="仿宋_GB2312" w:eastAsia="仿宋_GB2312" w:cs="仿宋_GB2312"/>
          <w:b/>
          <w:spacing w:val="20"/>
          <w:sz w:val="36"/>
          <w:highlight w:val="none"/>
        </w:rPr>
      </w:pPr>
      <w:r>
        <w:rPr>
          <w:rFonts w:hint="eastAsia" w:ascii="仿宋_GB2312" w:hAnsi="仿宋_GB2312" w:eastAsia="仿宋_GB2312" w:cs="仿宋_GB2312"/>
          <w:b/>
          <w:sz w:val="32"/>
          <w:highlight w:val="none"/>
        </w:rPr>
        <w:t>投标函部分格式</w:t>
      </w:r>
      <w:r>
        <w:rPr>
          <w:rFonts w:hint="eastAsia" w:ascii="仿宋_GB2312" w:hAnsi="仿宋_GB2312" w:eastAsia="仿宋_GB2312" w:cs="仿宋_GB2312"/>
          <w:b/>
          <w:spacing w:val="20"/>
          <w:sz w:val="36"/>
          <w:highlight w:val="none"/>
        </w:rPr>
        <w:t>：</w:t>
      </w:r>
    </w:p>
    <w:p>
      <w:pPr>
        <w:spacing w:line="360" w:lineRule="auto"/>
        <w:jc w:val="center"/>
        <w:textAlignment w:val="baseline"/>
        <w:rPr>
          <w:rFonts w:ascii="仿宋_GB2312" w:hAnsi="仿宋_GB2312" w:eastAsia="仿宋_GB2312" w:cs="仿宋_GB2312"/>
          <w:b/>
          <w:sz w:val="32"/>
          <w:szCs w:val="32"/>
          <w:highlight w:val="none"/>
        </w:rPr>
      </w:pPr>
      <w:r>
        <w:rPr>
          <w:rFonts w:hint="eastAsia" w:ascii="仿宋_GB2312" w:hAnsi="仿宋_GB2312" w:eastAsia="仿宋_GB2312" w:cs="仿宋_GB2312"/>
          <w:b/>
          <w:kern w:val="0"/>
          <w:sz w:val="28"/>
          <w:highlight w:val="none"/>
          <w:u w:val="single"/>
        </w:rPr>
        <w:t>（项目名称）</w:t>
      </w:r>
    </w:p>
    <w:p>
      <w:pPr>
        <w:tabs>
          <w:tab w:val="left" w:pos="3600"/>
          <w:tab w:val="left" w:pos="4480"/>
          <w:tab w:val="left" w:pos="5360"/>
        </w:tabs>
        <w:autoSpaceDE w:val="0"/>
        <w:autoSpaceDN w:val="0"/>
        <w:adjustRightInd w:val="0"/>
        <w:snapToGrid w:val="0"/>
        <w:spacing w:line="360" w:lineRule="auto"/>
        <w:jc w:val="left"/>
        <w:rPr>
          <w:rFonts w:ascii="仿宋_GB2312" w:hAnsi="仿宋_GB2312" w:eastAsia="仿宋_GB2312" w:cs="仿宋_GB2312"/>
          <w:kern w:val="0"/>
          <w:sz w:val="44"/>
          <w:highlight w:val="none"/>
        </w:rPr>
      </w:pPr>
      <w:r>
        <w:rPr>
          <w:rFonts w:hint="eastAsia" w:ascii="仿宋_GB2312" w:hAnsi="仿宋_GB2312" w:eastAsia="仿宋_GB2312" w:cs="仿宋_GB2312"/>
          <w:kern w:val="0"/>
          <w:sz w:val="44"/>
          <w:highlight w:val="none"/>
        </w:rPr>
        <w:t xml:space="preserve">          </w:t>
      </w:r>
    </w:p>
    <w:p>
      <w:pPr>
        <w:tabs>
          <w:tab w:val="left" w:pos="3600"/>
          <w:tab w:val="left" w:pos="4480"/>
          <w:tab w:val="left" w:pos="5360"/>
        </w:tabs>
        <w:autoSpaceDE w:val="0"/>
        <w:autoSpaceDN w:val="0"/>
        <w:adjustRightInd w:val="0"/>
        <w:snapToGrid w:val="0"/>
        <w:spacing w:line="360" w:lineRule="auto"/>
        <w:rPr>
          <w:rFonts w:ascii="仿宋_GB2312" w:hAnsi="仿宋_GB2312" w:eastAsia="仿宋_GB2312" w:cs="仿宋_GB2312"/>
          <w:b/>
          <w:kern w:val="0"/>
          <w:sz w:val="84"/>
          <w:highlight w:val="none"/>
        </w:rPr>
      </w:pPr>
    </w:p>
    <w:p>
      <w:pPr>
        <w:tabs>
          <w:tab w:val="left" w:pos="3600"/>
          <w:tab w:val="left" w:pos="4480"/>
          <w:tab w:val="left" w:pos="5360"/>
        </w:tabs>
        <w:autoSpaceDE w:val="0"/>
        <w:autoSpaceDN w:val="0"/>
        <w:adjustRightInd w:val="0"/>
        <w:snapToGrid w:val="0"/>
        <w:spacing w:line="360" w:lineRule="auto"/>
        <w:jc w:val="center"/>
        <w:rPr>
          <w:rFonts w:ascii="仿宋_GB2312" w:hAnsi="仿宋_GB2312" w:eastAsia="仿宋_GB2312" w:cs="仿宋_GB2312"/>
          <w:b/>
          <w:kern w:val="0"/>
          <w:sz w:val="84"/>
          <w:highlight w:val="none"/>
        </w:rPr>
      </w:pPr>
      <w:r>
        <w:rPr>
          <w:rFonts w:hint="eastAsia" w:ascii="仿宋_GB2312" w:hAnsi="仿宋_GB2312" w:eastAsia="仿宋_GB2312" w:cs="仿宋_GB2312"/>
          <w:b/>
          <w:kern w:val="0"/>
          <w:sz w:val="84"/>
          <w:highlight w:val="none"/>
        </w:rPr>
        <w:t>投标文件</w:t>
      </w:r>
    </w:p>
    <w:p>
      <w:pPr>
        <w:autoSpaceDE w:val="0"/>
        <w:autoSpaceDN w:val="0"/>
        <w:adjustRightInd w:val="0"/>
        <w:snapToGrid w:val="0"/>
        <w:spacing w:line="360" w:lineRule="auto"/>
        <w:jc w:val="left"/>
        <w:rPr>
          <w:rFonts w:ascii="仿宋_GB2312" w:hAnsi="仿宋_GB2312" w:eastAsia="仿宋_GB2312" w:cs="仿宋_GB2312"/>
          <w:kern w:val="0"/>
          <w:sz w:val="16"/>
          <w:highlight w:val="none"/>
        </w:rPr>
      </w:pPr>
    </w:p>
    <w:p>
      <w:pPr>
        <w:autoSpaceDE w:val="0"/>
        <w:autoSpaceDN w:val="0"/>
        <w:adjustRightInd w:val="0"/>
        <w:snapToGrid w:val="0"/>
        <w:spacing w:line="360" w:lineRule="auto"/>
        <w:jc w:val="center"/>
        <w:rPr>
          <w:rFonts w:ascii="仿宋_GB2312" w:hAnsi="仿宋_GB2312" w:eastAsia="仿宋_GB2312" w:cs="仿宋_GB2312"/>
          <w:b/>
          <w:kern w:val="0"/>
          <w:sz w:val="36"/>
          <w:highlight w:val="none"/>
        </w:rPr>
      </w:pPr>
      <w:r>
        <w:rPr>
          <w:rFonts w:hint="eastAsia" w:ascii="仿宋_GB2312" w:hAnsi="仿宋_GB2312" w:eastAsia="仿宋_GB2312" w:cs="仿宋_GB2312"/>
          <w:b/>
          <w:kern w:val="0"/>
          <w:sz w:val="36"/>
          <w:highlight w:val="none"/>
        </w:rPr>
        <w:t>投标函部分</w:t>
      </w:r>
    </w:p>
    <w:p>
      <w:pPr>
        <w:autoSpaceDE w:val="0"/>
        <w:autoSpaceDN w:val="0"/>
        <w:adjustRightInd w:val="0"/>
        <w:snapToGrid w:val="0"/>
        <w:spacing w:line="360" w:lineRule="auto"/>
        <w:jc w:val="left"/>
        <w:rPr>
          <w:rFonts w:ascii="仿宋_GB2312" w:hAnsi="仿宋_GB2312" w:eastAsia="仿宋_GB2312" w:cs="仿宋_GB2312"/>
          <w:b/>
          <w:kern w:val="0"/>
          <w:sz w:val="20"/>
          <w:highlight w:val="none"/>
        </w:rPr>
      </w:pPr>
    </w:p>
    <w:p>
      <w:pPr>
        <w:autoSpaceDE w:val="0"/>
        <w:autoSpaceDN w:val="0"/>
        <w:adjustRightInd w:val="0"/>
        <w:snapToGrid w:val="0"/>
        <w:spacing w:line="360" w:lineRule="auto"/>
        <w:jc w:val="left"/>
        <w:rPr>
          <w:rFonts w:ascii="仿宋_GB2312" w:hAnsi="仿宋_GB2312" w:eastAsia="仿宋_GB2312" w:cs="仿宋_GB2312"/>
          <w:b/>
          <w:kern w:val="0"/>
          <w:sz w:val="20"/>
          <w:highlight w:val="none"/>
        </w:rPr>
      </w:pPr>
    </w:p>
    <w:p>
      <w:pPr>
        <w:autoSpaceDE w:val="0"/>
        <w:autoSpaceDN w:val="0"/>
        <w:adjustRightInd w:val="0"/>
        <w:snapToGrid w:val="0"/>
        <w:spacing w:line="360" w:lineRule="auto"/>
        <w:jc w:val="left"/>
        <w:rPr>
          <w:rFonts w:ascii="仿宋_GB2312" w:hAnsi="仿宋_GB2312" w:eastAsia="仿宋_GB2312" w:cs="仿宋_GB2312"/>
          <w:b/>
          <w:kern w:val="0"/>
          <w:sz w:val="20"/>
          <w:highlight w:val="none"/>
        </w:rPr>
      </w:pPr>
    </w:p>
    <w:p>
      <w:pPr>
        <w:autoSpaceDE w:val="0"/>
        <w:autoSpaceDN w:val="0"/>
        <w:adjustRightInd w:val="0"/>
        <w:snapToGrid w:val="0"/>
        <w:spacing w:line="360" w:lineRule="auto"/>
        <w:jc w:val="left"/>
        <w:rPr>
          <w:rFonts w:ascii="仿宋_GB2312" w:hAnsi="仿宋_GB2312" w:eastAsia="仿宋_GB2312" w:cs="仿宋_GB2312"/>
          <w:b/>
          <w:kern w:val="0"/>
          <w:sz w:val="20"/>
          <w:highlight w:val="none"/>
        </w:rPr>
      </w:pPr>
    </w:p>
    <w:p>
      <w:pPr>
        <w:autoSpaceDE w:val="0"/>
        <w:autoSpaceDN w:val="0"/>
        <w:adjustRightInd w:val="0"/>
        <w:snapToGrid w:val="0"/>
        <w:spacing w:line="360" w:lineRule="auto"/>
        <w:jc w:val="left"/>
        <w:rPr>
          <w:rFonts w:ascii="仿宋_GB2312" w:hAnsi="仿宋_GB2312" w:eastAsia="仿宋_GB2312" w:cs="仿宋_GB2312"/>
          <w:b/>
          <w:kern w:val="0"/>
          <w:sz w:val="20"/>
          <w:highlight w:val="none"/>
        </w:rPr>
      </w:pPr>
    </w:p>
    <w:p>
      <w:pPr>
        <w:tabs>
          <w:tab w:val="left" w:pos="6080"/>
          <w:tab w:val="left" w:pos="6640"/>
        </w:tabs>
        <w:autoSpaceDE w:val="0"/>
        <w:autoSpaceDN w:val="0"/>
        <w:adjustRightInd w:val="0"/>
        <w:snapToGrid w:val="0"/>
        <w:spacing w:line="360" w:lineRule="auto"/>
        <w:jc w:val="center"/>
        <w:rPr>
          <w:rFonts w:ascii="仿宋_GB2312" w:hAnsi="仿宋_GB2312" w:eastAsia="仿宋_GB2312" w:cs="仿宋_GB2312"/>
          <w:b/>
          <w:kern w:val="0"/>
          <w:sz w:val="28"/>
          <w:highlight w:val="none"/>
        </w:rPr>
      </w:pPr>
      <w:r>
        <w:rPr>
          <w:rFonts w:hint="eastAsia" w:ascii="仿宋_GB2312" w:hAnsi="仿宋_GB2312" w:eastAsia="仿宋_GB2312" w:cs="仿宋_GB2312"/>
          <w:b/>
          <w:kern w:val="0"/>
          <w:sz w:val="28"/>
          <w:highlight w:val="none"/>
        </w:rPr>
        <w:t>投标人</w:t>
      </w:r>
      <w:r>
        <w:rPr>
          <w:rFonts w:hint="eastAsia" w:ascii="仿宋_GB2312" w:hAnsi="仿宋_GB2312" w:eastAsia="仿宋_GB2312" w:cs="仿宋_GB2312"/>
          <w:b/>
          <w:spacing w:val="1"/>
          <w:kern w:val="0"/>
          <w:sz w:val="28"/>
          <w:highlight w:val="none"/>
        </w:rPr>
        <w:t>：</w:t>
      </w:r>
      <w:r>
        <w:rPr>
          <w:rFonts w:hint="eastAsia" w:ascii="仿宋_GB2312" w:hAnsi="仿宋_GB2312" w:eastAsia="仿宋_GB2312" w:cs="仿宋_GB2312"/>
          <w:b/>
          <w:kern w:val="0"/>
          <w:sz w:val="28"/>
          <w:highlight w:val="none"/>
          <w:u w:val="single"/>
        </w:rPr>
        <w:t xml:space="preserve"> 　　　　 　　</w:t>
      </w:r>
      <w:r>
        <w:rPr>
          <w:rFonts w:hint="eastAsia" w:ascii="仿宋_GB2312" w:hAnsi="仿宋_GB2312" w:eastAsia="仿宋_GB2312" w:cs="仿宋_GB2312"/>
          <w:b/>
          <w:kern w:val="0"/>
          <w:sz w:val="28"/>
          <w:highlight w:val="none"/>
        </w:rPr>
        <w:t>（盖单位公章）</w:t>
      </w:r>
    </w:p>
    <w:p>
      <w:pPr>
        <w:tabs>
          <w:tab w:val="left" w:pos="6080"/>
          <w:tab w:val="left" w:pos="6640"/>
        </w:tabs>
        <w:autoSpaceDE w:val="0"/>
        <w:autoSpaceDN w:val="0"/>
        <w:adjustRightInd w:val="0"/>
        <w:snapToGrid w:val="0"/>
        <w:spacing w:line="360" w:lineRule="auto"/>
        <w:jc w:val="center"/>
        <w:rPr>
          <w:rFonts w:ascii="仿宋_GB2312" w:hAnsi="仿宋_GB2312" w:eastAsia="仿宋_GB2312" w:cs="仿宋_GB2312"/>
          <w:b/>
          <w:kern w:val="0"/>
          <w:sz w:val="28"/>
          <w:highlight w:val="none"/>
        </w:rPr>
      </w:pPr>
      <w:r>
        <w:rPr>
          <w:rFonts w:hint="eastAsia" w:ascii="仿宋_GB2312" w:hAnsi="仿宋_GB2312" w:eastAsia="仿宋_GB2312" w:cs="仿宋_GB2312"/>
          <w:b/>
          <w:kern w:val="0"/>
          <w:sz w:val="28"/>
          <w:highlight w:val="none"/>
        </w:rPr>
        <w:t>法定代表人/负责人或其委托代理人：</w:t>
      </w:r>
      <w:r>
        <w:rPr>
          <w:rFonts w:hint="eastAsia" w:ascii="仿宋_GB2312" w:hAnsi="仿宋_GB2312" w:eastAsia="仿宋_GB2312" w:cs="仿宋_GB2312"/>
          <w:b/>
          <w:kern w:val="0"/>
          <w:sz w:val="28"/>
          <w:highlight w:val="none"/>
          <w:u w:val="single"/>
        </w:rPr>
        <w:t xml:space="preserve"> 　　 　</w:t>
      </w:r>
      <w:r>
        <w:rPr>
          <w:rFonts w:hint="eastAsia" w:ascii="仿宋_GB2312" w:hAnsi="仿宋_GB2312" w:eastAsia="仿宋_GB2312" w:cs="仿宋_GB2312"/>
          <w:b/>
          <w:kern w:val="0"/>
          <w:sz w:val="28"/>
          <w:highlight w:val="none"/>
        </w:rPr>
        <w:t>（签字）</w:t>
      </w:r>
    </w:p>
    <w:p>
      <w:pPr>
        <w:tabs>
          <w:tab w:val="left" w:pos="3280"/>
          <w:tab w:val="left" w:pos="4680"/>
          <w:tab w:val="left" w:pos="6080"/>
        </w:tabs>
        <w:autoSpaceDE w:val="0"/>
        <w:autoSpaceDN w:val="0"/>
        <w:adjustRightInd w:val="0"/>
        <w:snapToGrid w:val="0"/>
        <w:spacing w:line="360" w:lineRule="auto"/>
        <w:jc w:val="center"/>
        <w:rPr>
          <w:rFonts w:ascii="仿宋_GB2312" w:hAnsi="仿宋_GB2312" w:eastAsia="仿宋_GB2312" w:cs="仿宋_GB2312"/>
          <w:b/>
          <w:kern w:val="0"/>
          <w:sz w:val="28"/>
          <w:highlight w:val="none"/>
        </w:rPr>
        <w:sectPr>
          <w:headerReference r:id="rId5" w:type="first"/>
          <w:headerReference r:id="rId4" w:type="default"/>
          <w:footerReference r:id="rId6" w:type="default"/>
          <w:pgSz w:w="11906" w:h="16838"/>
          <w:pgMar w:top="992" w:right="1558" w:bottom="850" w:left="1701" w:header="851" w:footer="992" w:gutter="0"/>
          <w:pgNumType w:start="0"/>
          <w:cols w:space="0" w:num="1"/>
          <w:titlePg/>
          <w:docGrid w:type="lines" w:linePitch="312" w:charSpace="0"/>
        </w:sectPr>
      </w:pPr>
      <w:r>
        <w:rPr>
          <w:rFonts w:hint="eastAsia" w:ascii="仿宋_GB2312" w:hAnsi="仿宋_GB2312" w:eastAsia="仿宋_GB2312" w:cs="仿宋_GB2312"/>
          <w:b/>
          <w:kern w:val="0"/>
          <w:sz w:val="28"/>
          <w:highlight w:val="none"/>
          <w:u w:val="single"/>
        </w:rPr>
        <w:t xml:space="preserve">     　</w:t>
      </w:r>
      <w:r>
        <w:rPr>
          <w:rFonts w:hint="eastAsia" w:ascii="仿宋_GB2312" w:hAnsi="仿宋_GB2312" w:eastAsia="仿宋_GB2312" w:cs="仿宋_GB2312"/>
          <w:b/>
          <w:kern w:val="0"/>
          <w:sz w:val="28"/>
          <w:highlight w:val="none"/>
        </w:rPr>
        <w:t>年</w:t>
      </w:r>
      <w:r>
        <w:rPr>
          <w:rFonts w:hint="eastAsia" w:ascii="仿宋_GB2312" w:hAnsi="仿宋_GB2312" w:eastAsia="仿宋_GB2312" w:cs="仿宋_GB2312"/>
          <w:b/>
          <w:kern w:val="0"/>
          <w:sz w:val="28"/>
          <w:highlight w:val="none"/>
          <w:u w:val="single"/>
        </w:rPr>
        <w:t xml:space="preserve">   </w:t>
      </w:r>
      <w:r>
        <w:rPr>
          <w:rFonts w:hint="eastAsia" w:ascii="仿宋_GB2312" w:hAnsi="仿宋_GB2312" w:eastAsia="仿宋_GB2312" w:cs="仿宋_GB2312"/>
          <w:b/>
          <w:kern w:val="0"/>
          <w:sz w:val="28"/>
          <w:highlight w:val="none"/>
        </w:rPr>
        <w:t>月</w:t>
      </w:r>
      <w:r>
        <w:rPr>
          <w:rFonts w:hint="eastAsia" w:ascii="仿宋_GB2312" w:hAnsi="仿宋_GB2312" w:eastAsia="仿宋_GB2312" w:cs="仿宋_GB2312"/>
          <w:b/>
          <w:kern w:val="0"/>
          <w:sz w:val="28"/>
          <w:highlight w:val="none"/>
          <w:u w:val="single"/>
        </w:rPr>
        <w:t xml:space="preserve">  </w:t>
      </w:r>
      <w:r>
        <w:rPr>
          <w:rFonts w:hint="eastAsia" w:ascii="仿宋_GB2312" w:hAnsi="仿宋_GB2312" w:eastAsia="仿宋_GB2312" w:cs="仿宋_GB2312"/>
          <w:b/>
          <w:kern w:val="0"/>
          <w:sz w:val="28"/>
          <w:highlight w:val="none"/>
        </w:rPr>
        <w:t>日</w:t>
      </w:r>
    </w:p>
    <w:p>
      <w:pPr>
        <w:pStyle w:val="4"/>
        <w:jc w:val="center"/>
        <w:rPr>
          <w:rFonts w:ascii="宋体" w:hAnsi="宋体" w:cs="宋体"/>
          <w:color w:val="000000"/>
          <w:sz w:val="28"/>
          <w:highlight w:val="none"/>
        </w:rPr>
      </w:pPr>
      <w:bookmarkStart w:id="27" w:name="_Toc336093170"/>
      <w:bookmarkStart w:id="28" w:name="_Toc338263126"/>
      <w:bookmarkStart w:id="29" w:name="_Toc7868"/>
      <w:bookmarkStart w:id="30" w:name="_Toc334349123"/>
      <w:r>
        <w:rPr>
          <w:rFonts w:hint="eastAsia" w:ascii="宋体" w:hAnsi="宋体" w:cs="宋体"/>
          <w:color w:val="000000"/>
          <w:sz w:val="28"/>
          <w:highlight w:val="none"/>
        </w:rPr>
        <w:t>（一） 投标函</w:t>
      </w:r>
      <w:bookmarkEnd w:id="27"/>
      <w:bookmarkEnd w:id="28"/>
      <w:bookmarkEnd w:id="29"/>
      <w:bookmarkEnd w:id="30"/>
    </w:p>
    <w:p>
      <w:pPr>
        <w:autoSpaceDE w:val="0"/>
        <w:autoSpaceDN w:val="0"/>
        <w:adjustRightInd w:val="0"/>
        <w:spacing w:line="200" w:lineRule="exact"/>
        <w:jc w:val="left"/>
        <w:rPr>
          <w:rFonts w:ascii="宋体" w:hAnsi="宋体" w:cs="宋体"/>
          <w:kern w:val="0"/>
          <w:highlight w:val="none"/>
        </w:rPr>
      </w:pPr>
    </w:p>
    <w:p>
      <w:pPr>
        <w:autoSpaceDE w:val="0"/>
        <w:autoSpaceDN w:val="0"/>
        <w:adjustRightInd w:val="0"/>
        <w:spacing w:line="200" w:lineRule="exact"/>
        <w:jc w:val="left"/>
        <w:rPr>
          <w:rFonts w:ascii="宋体" w:hAnsi="宋体" w:cs="宋体"/>
          <w:kern w:val="0"/>
          <w:highlight w:val="none"/>
        </w:rPr>
      </w:pPr>
    </w:p>
    <w:p>
      <w:pPr>
        <w:autoSpaceDE w:val="0"/>
        <w:autoSpaceDN w:val="0"/>
        <w:adjustRightInd w:val="0"/>
        <w:spacing w:before="19" w:line="220" w:lineRule="exact"/>
        <w:jc w:val="left"/>
        <w:rPr>
          <w:rFonts w:ascii="宋体" w:hAnsi="宋体" w:cs="宋体"/>
          <w:snapToGrid w:val="0"/>
          <w:kern w:val="0"/>
          <w:szCs w:val="22"/>
          <w:highlight w:val="none"/>
        </w:rPr>
      </w:pPr>
    </w:p>
    <w:p>
      <w:pPr>
        <w:tabs>
          <w:tab w:val="left" w:pos="2640"/>
        </w:tabs>
        <w:autoSpaceDE w:val="0"/>
        <w:autoSpaceDN w:val="0"/>
        <w:adjustRightInd w:val="0"/>
        <w:spacing w:line="220" w:lineRule="exact"/>
        <w:ind w:left="120" w:right="-20"/>
        <w:jc w:val="left"/>
        <w:rPr>
          <w:rFonts w:ascii="宋体" w:hAnsi="宋体" w:cs="宋体"/>
          <w:snapToGrid w:val="0"/>
          <w:kern w:val="0"/>
          <w:szCs w:val="21"/>
          <w:highlight w:val="none"/>
        </w:rPr>
      </w:pPr>
      <w:r>
        <w:rPr>
          <w:rFonts w:hint="eastAsia" w:ascii="宋体" w:hAnsi="宋体" w:cs="宋体"/>
          <w:snapToGrid w:val="0"/>
          <w:w w:val="200"/>
          <w:kern w:val="0"/>
          <w:szCs w:val="21"/>
          <w:highlight w:val="none"/>
          <w:u w:val="single"/>
        </w:rPr>
        <w:t xml:space="preserve"> </w:t>
      </w:r>
      <w:r>
        <w:rPr>
          <w:rFonts w:hint="eastAsia" w:ascii="宋体" w:hAnsi="宋体" w:cs="宋体"/>
          <w:snapToGrid w:val="0"/>
          <w:kern w:val="0"/>
          <w:szCs w:val="21"/>
          <w:highlight w:val="none"/>
          <w:u w:val="single"/>
        </w:rPr>
        <w:tab/>
      </w:r>
      <w:r>
        <w:rPr>
          <w:rFonts w:hint="eastAsia" w:ascii="宋体" w:hAnsi="宋体" w:cs="宋体"/>
          <w:snapToGrid w:val="0"/>
          <w:kern w:val="0"/>
          <w:szCs w:val="21"/>
          <w:highlight w:val="none"/>
        </w:rPr>
        <w:t>（招标人名称）：</w:t>
      </w:r>
    </w:p>
    <w:p>
      <w:pPr>
        <w:autoSpaceDE w:val="0"/>
        <w:autoSpaceDN w:val="0"/>
        <w:adjustRightInd w:val="0"/>
        <w:spacing w:before="15" w:line="140" w:lineRule="exact"/>
        <w:jc w:val="left"/>
        <w:rPr>
          <w:rFonts w:ascii="宋体" w:hAnsi="宋体" w:cs="宋体"/>
          <w:snapToGrid w:val="0"/>
          <w:kern w:val="0"/>
          <w:szCs w:val="14"/>
          <w:highlight w:val="none"/>
        </w:rPr>
      </w:pPr>
    </w:p>
    <w:p>
      <w:pPr>
        <w:autoSpaceDE w:val="0"/>
        <w:autoSpaceDN w:val="0"/>
        <w:adjustRightInd w:val="0"/>
        <w:spacing w:line="200" w:lineRule="exact"/>
        <w:jc w:val="left"/>
        <w:rPr>
          <w:rFonts w:ascii="宋体" w:hAnsi="宋体" w:cs="宋体"/>
          <w:snapToGrid w:val="0"/>
          <w:kern w:val="0"/>
          <w:highlight w:val="none"/>
        </w:rPr>
      </w:pPr>
    </w:p>
    <w:p>
      <w:pPr>
        <w:autoSpaceDE w:val="0"/>
        <w:autoSpaceDN w:val="0"/>
        <w:adjustRightInd w:val="0"/>
        <w:spacing w:line="200" w:lineRule="exact"/>
        <w:jc w:val="left"/>
        <w:rPr>
          <w:rFonts w:ascii="宋体" w:hAnsi="宋体" w:cs="宋体"/>
          <w:snapToGrid w:val="0"/>
          <w:kern w:val="0"/>
          <w:highlight w:val="none"/>
        </w:rPr>
      </w:pPr>
    </w:p>
    <w:p>
      <w:pPr>
        <w:snapToGrid w:val="0"/>
        <w:spacing w:line="360" w:lineRule="auto"/>
        <w:ind w:right="-3" w:firstLine="420" w:firstLineChars="200"/>
        <w:rPr>
          <w:rFonts w:ascii="宋体" w:hAnsi="宋体" w:cs="宋体"/>
          <w:snapToGrid w:val="0"/>
          <w:kern w:val="0"/>
          <w:szCs w:val="21"/>
          <w:highlight w:val="none"/>
        </w:rPr>
      </w:pPr>
      <w:r>
        <w:rPr>
          <w:rFonts w:hint="eastAsia" w:ascii="宋体" w:hAnsi="宋体" w:cs="宋体"/>
          <w:szCs w:val="21"/>
          <w:highlight w:val="none"/>
        </w:rPr>
        <w:t>1.根据你方</w:t>
      </w:r>
      <w:r>
        <w:rPr>
          <w:rFonts w:hint="eastAsia" w:ascii="宋体" w:hAnsi="宋体" w:cs="宋体"/>
          <w:b/>
          <w:kern w:val="0"/>
          <w:szCs w:val="21"/>
          <w:highlight w:val="none"/>
          <w:u w:val="single"/>
        </w:rPr>
        <w:t xml:space="preserve">                                                </w:t>
      </w:r>
      <w:r>
        <w:rPr>
          <w:rFonts w:hint="eastAsia" w:ascii="宋体" w:hAnsi="宋体" w:cs="宋体"/>
          <w:szCs w:val="21"/>
          <w:highlight w:val="none"/>
        </w:rPr>
        <w:t>项目招标文件，遵照《中华人民共和国招标投标法》等有关法律法规的规定，经研究招标文件及其相应的补遗资料、书面通知等规定后，结合本项目实际情况和市场行情，</w:t>
      </w:r>
      <w:r>
        <w:rPr>
          <w:rFonts w:hint="eastAsia" w:ascii="宋体" w:hAnsi="宋体" w:cs="宋体"/>
          <w:snapToGrid w:val="0"/>
          <w:kern w:val="0"/>
          <w:szCs w:val="21"/>
          <w:highlight w:val="none"/>
        </w:rPr>
        <w:t>我方于本项目承销费率投标报价为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年 </w:t>
      </w:r>
      <w:r>
        <w:rPr>
          <w:rFonts w:hint="eastAsia" w:ascii="宋体" w:hAnsi="宋体"/>
          <w:szCs w:val="21"/>
          <w:highlight w:val="none"/>
        </w:rPr>
        <w:t>，</w:t>
      </w:r>
      <w:r>
        <w:rPr>
          <w:rFonts w:hint="eastAsia" w:ascii="宋体" w:hAnsi="宋体" w:cs="宋体"/>
          <w:szCs w:val="21"/>
          <w:highlight w:val="none"/>
        </w:rPr>
        <w:t>项目负责人</w:t>
      </w:r>
      <w:r>
        <w:rPr>
          <w:rFonts w:hint="eastAsia" w:ascii="宋体" w:hAnsi="宋体" w:cs="宋体"/>
          <w:szCs w:val="21"/>
          <w:highlight w:val="none"/>
          <w:u w:val="single"/>
        </w:rPr>
        <w:t xml:space="preserve">             </w:t>
      </w:r>
      <w:r>
        <w:rPr>
          <w:rFonts w:hint="eastAsia" w:ascii="宋体" w:hAnsi="宋体" w:cs="宋体"/>
          <w:szCs w:val="21"/>
          <w:highlight w:val="none"/>
        </w:rPr>
        <w:t xml:space="preserve">。并按上述招标文件规定的条件和要求完成合同规定的全部工作内容和承担相关的责任。                       </w:t>
      </w:r>
    </w:p>
    <w:p>
      <w:pPr>
        <w:autoSpaceDE w:val="0"/>
        <w:autoSpaceDN w:val="0"/>
        <w:adjustRightInd w:val="0"/>
        <w:spacing w:line="400" w:lineRule="exact"/>
        <w:ind w:right="216" w:firstLine="521"/>
        <w:rPr>
          <w:rFonts w:ascii="宋体" w:hAnsi="宋体" w:cs="宋体"/>
          <w:szCs w:val="21"/>
          <w:highlight w:val="none"/>
        </w:rPr>
      </w:pPr>
      <w:r>
        <w:rPr>
          <w:rFonts w:hint="eastAsia" w:ascii="宋体" w:hAnsi="宋体" w:cs="宋体"/>
          <w:szCs w:val="21"/>
          <w:highlight w:val="none"/>
        </w:rPr>
        <w:t>2. 我方提交的投标文件（包括投标报价书和其它投标文件）在投标截止时间后的90天内有效，在此期间内被你方接受的上述文件对我方一直具有约束力，我方保证在投标文件有效期内不撤回投标文件，除招标文件另有规定外，不修改投标文件。</w:t>
      </w:r>
    </w:p>
    <w:p>
      <w:pPr>
        <w:autoSpaceDE w:val="0"/>
        <w:autoSpaceDN w:val="0"/>
        <w:adjustRightInd w:val="0"/>
        <w:spacing w:line="400" w:lineRule="exact"/>
        <w:ind w:right="216" w:firstLine="521"/>
        <w:rPr>
          <w:rFonts w:ascii="宋体" w:hAnsi="宋体" w:cs="宋体"/>
          <w:szCs w:val="21"/>
          <w:highlight w:val="none"/>
        </w:rPr>
      </w:pPr>
      <w:r>
        <w:rPr>
          <w:rFonts w:hint="eastAsia" w:ascii="宋体" w:hAnsi="宋体" w:cs="宋体"/>
          <w:szCs w:val="21"/>
          <w:highlight w:val="none"/>
        </w:rPr>
        <w:t>3. 若我方中标：</w:t>
      </w:r>
    </w:p>
    <w:p>
      <w:pPr>
        <w:snapToGrid w:val="0"/>
        <w:spacing w:line="360" w:lineRule="auto"/>
        <w:ind w:right="-3" w:firstLine="420" w:firstLineChars="200"/>
        <w:rPr>
          <w:rFonts w:ascii="宋体" w:hAnsi="宋体" w:cs="宋体"/>
          <w:szCs w:val="21"/>
          <w:highlight w:val="none"/>
        </w:rPr>
      </w:pPr>
      <w:r>
        <w:rPr>
          <w:rFonts w:hint="eastAsia" w:ascii="宋体" w:hAnsi="宋体" w:cs="宋体"/>
          <w:szCs w:val="21"/>
          <w:highlight w:val="none"/>
        </w:rPr>
        <w:t>（1）按比选文件规定的各项要求，向重庆国际物流枢纽园区建设有限责任公司</w:t>
      </w:r>
      <w:r>
        <w:rPr>
          <w:rFonts w:hint="eastAsia" w:ascii="宋体" w:hAnsi="宋体" w:cs="宋体"/>
          <w:kern w:val="0"/>
          <w:szCs w:val="21"/>
          <w:highlight w:val="none"/>
        </w:rPr>
        <w:t>超短期融资券</w:t>
      </w:r>
      <w:r>
        <w:rPr>
          <w:rFonts w:hint="eastAsia" w:ascii="宋体" w:hAnsi="宋体" w:cs="宋体"/>
          <w:szCs w:val="21"/>
          <w:highlight w:val="none"/>
        </w:rPr>
        <w:t>发行提供比选文件要求的承销服务，投标书中的报价和承诺的服务是我方真实意愿的反映；</w:t>
      </w:r>
    </w:p>
    <w:p>
      <w:pPr>
        <w:snapToGrid w:val="0"/>
        <w:spacing w:line="360" w:lineRule="auto"/>
        <w:ind w:right="-3" w:firstLine="420" w:firstLineChars="200"/>
        <w:rPr>
          <w:rFonts w:ascii="宋体" w:hAnsi="宋体" w:cs="宋体"/>
          <w:szCs w:val="21"/>
          <w:highlight w:val="none"/>
        </w:rPr>
      </w:pPr>
      <w:r>
        <w:rPr>
          <w:rFonts w:hint="eastAsia" w:ascii="宋体" w:hAnsi="宋体" w:cs="宋体"/>
          <w:szCs w:val="21"/>
          <w:highlight w:val="none"/>
        </w:rPr>
        <w:t>（2）公司完全理解贵方将合同授予综合评分最高者的合格比选申请人；</w:t>
      </w:r>
    </w:p>
    <w:p>
      <w:pPr>
        <w:snapToGrid w:val="0"/>
        <w:spacing w:line="360" w:lineRule="auto"/>
        <w:ind w:right="-3" w:firstLine="420" w:firstLineChars="200"/>
        <w:rPr>
          <w:rFonts w:ascii="宋体" w:hAnsi="宋体" w:cs="宋体"/>
          <w:szCs w:val="21"/>
          <w:highlight w:val="none"/>
        </w:rPr>
      </w:pPr>
      <w:r>
        <w:rPr>
          <w:rFonts w:hint="eastAsia" w:ascii="宋体" w:hAnsi="宋体" w:cs="宋体"/>
          <w:szCs w:val="21"/>
          <w:highlight w:val="none"/>
        </w:rPr>
        <w:t>（3）公司已详细审核全部比选文件及其有关补充文件，知道必须放弃提出含糊不清或误解问题的权利；</w:t>
      </w:r>
    </w:p>
    <w:p>
      <w:pPr>
        <w:snapToGrid w:val="0"/>
        <w:spacing w:line="360" w:lineRule="auto"/>
        <w:ind w:right="-3" w:firstLine="420" w:firstLineChars="200"/>
        <w:rPr>
          <w:rFonts w:ascii="宋体" w:hAnsi="宋体" w:cs="宋体"/>
          <w:szCs w:val="21"/>
          <w:highlight w:val="none"/>
        </w:rPr>
      </w:pPr>
      <w:r>
        <w:rPr>
          <w:rFonts w:hint="eastAsia" w:ascii="宋体" w:hAnsi="宋体" w:cs="宋体"/>
          <w:szCs w:val="21"/>
          <w:highlight w:val="none"/>
        </w:rPr>
        <w:t>（4）同意向贵方提供可能另外要求的与比选有关的证据资料，配合比选方实施的与评标有关的各项活动，并保证我方提供和将要提供的文件是真实的、准确的；</w:t>
      </w:r>
    </w:p>
    <w:p>
      <w:pPr>
        <w:snapToGrid w:val="0"/>
        <w:spacing w:line="360" w:lineRule="auto"/>
        <w:ind w:right="-3" w:firstLine="420" w:firstLineChars="200"/>
        <w:rPr>
          <w:rFonts w:ascii="宋体" w:hAnsi="宋体" w:cs="宋体"/>
          <w:szCs w:val="21"/>
          <w:highlight w:val="none"/>
        </w:rPr>
      </w:pPr>
      <w:r>
        <w:rPr>
          <w:rFonts w:hint="eastAsia" w:ascii="宋体" w:hAnsi="宋体" w:cs="宋体"/>
          <w:szCs w:val="21"/>
          <w:highlight w:val="none"/>
        </w:rPr>
        <w:t>（5）一旦我方作为中选人，我方将严格履行合同规定的责任和义务，保证按比选文件中规定的要求和比选中的承诺为重庆国际物流枢纽园区建设有限责任公司发行</w:t>
      </w:r>
      <w:r>
        <w:rPr>
          <w:rFonts w:hint="eastAsia" w:ascii="宋体" w:hAnsi="宋体" w:cs="宋体"/>
          <w:kern w:val="0"/>
          <w:szCs w:val="21"/>
          <w:highlight w:val="none"/>
        </w:rPr>
        <w:t>超短期融资券</w:t>
      </w:r>
      <w:r>
        <w:rPr>
          <w:rFonts w:hint="eastAsia" w:ascii="宋体" w:hAnsi="宋体" w:cs="宋体"/>
          <w:szCs w:val="21"/>
          <w:highlight w:val="none"/>
        </w:rPr>
        <w:t>提供优质的承销服务。</w:t>
      </w:r>
    </w:p>
    <w:p>
      <w:pPr>
        <w:autoSpaceDE w:val="0"/>
        <w:autoSpaceDN w:val="0"/>
        <w:adjustRightInd w:val="0"/>
        <w:spacing w:line="400" w:lineRule="exact"/>
        <w:ind w:right="216" w:firstLine="521"/>
        <w:rPr>
          <w:rFonts w:ascii="宋体" w:hAnsi="宋体" w:cs="宋体"/>
          <w:szCs w:val="21"/>
          <w:highlight w:val="none"/>
        </w:rPr>
      </w:pPr>
    </w:p>
    <w:p>
      <w:pPr>
        <w:pStyle w:val="4"/>
        <w:rPr>
          <w:rFonts w:ascii="宋体" w:hAnsi="宋体" w:cs="宋体"/>
          <w:szCs w:val="21"/>
          <w:highlight w:val="none"/>
        </w:rPr>
      </w:pPr>
    </w:p>
    <w:p>
      <w:pPr>
        <w:rPr>
          <w:highlight w:val="none"/>
        </w:rPr>
      </w:pPr>
    </w:p>
    <w:p>
      <w:pPr>
        <w:spacing w:line="400" w:lineRule="exact"/>
        <w:ind w:firstLine="437"/>
        <w:rPr>
          <w:rFonts w:ascii="宋体" w:hAnsi="宋体" w:cs="宋体"/>
          <w:szCs w:val="21"/>
          <w:highlight w:val="none"/>
        </w:rPr>
      </w:pPr>
      <w:r>
        <w:rPr>
          <w:rFonts w:hint="eastAsia" w:ascii="宋体" w:hAnsi="宋体" w:cs="宋体"/>
          <w:szCs w:val="21"/>
          <w:highlight w:val="none"/>
        </w:rPr>
        <w:t xml:space="preserve">                    投标人：</w:t>
      </w:r>
      <w:r>
        <w:rPr>
          <w:rFonts w:hint="eastAsia" w:ascii="宋体" w:hAnsi="宋体" w:cs="宋体"/>
          <w:szCs w:val="21"/>
          <w:highlight w:val="none"/>
          <w:u w:val="single"/>
        </w:rPr>
        <w:t xml:space="preserve">                           </w:t>
      </w:r>
      <w:r>
        <w:rPr>
          <w:rFonts w:hint="eastAsia" w:ascii="宋体" w:hAnsi="宋体" w:cs="宋体"/>
          <w:szCs w:val="21"/>
          <w:highlight w:val="none"/>
        </w:rPr>
        <w:t>（盖章）</w:t>
      </w:r>
    </w:p>
    <w:p>
      <w:pPr>
        <w:suppressAutoHyphens/>
        <w:spacing w:line="400" w:lineRule="exact"/>
        <w:ind w:firstLine="437"/>
        <w:rPr>
          <w:rFonts w:ascii="宋体" w:hAnsi="宋体" w:cs="宋体"/>
          <w:szCs w:val="21"/>
          <w:highlight w:val="none"/>
        </w:rPr>
      </w:pPr>
      <w:r>
        <w:rPr>
          <w:rFonts w:hint="eastAsia" w:ascii="宋体" w:hAnsi="宋体" w:cs="宋体"/>
          <w:szCs w:val="21"/>
          <w:highlight w:val="none"/>
        </w:rPr>
        <w:t xml:space="preserve">                    法定代表人/负责人：</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pPr>
        <w:spacing w:line="400" w:lineRule="exact"/>
        <w:ind w:firstLine="437"/>
        <w:rPr>
          <w:rFonts w:ascii="宋体" w:hAnsi="宋体" w:cs="宋体"/>
          <w:szCs w:val="21"/>
          <w:highlight w:val="none"/>
          <w:u w:val="single"/>
        </w:rPr>
      </w:pPr>
      <w:r>
        <w:rPr>
          <w:rFonts w:hint="eastAsia" w:ascii="宋体" w:hAnsi="宋体" w:cs="宋体"/>
          <w:szCs w:val="21"/>
          <w:highlight w:val="none"/>
        </w:rPr>
        <w:t xml:space="preserve">                    单位地址：</w:t>
      </w:r>
      <w:r>
        <w:rPr>
          <w:rFonts w:hint="eastAsia" w:ascii="宋体" w:hAnsi="宋体" w:cs="宋体"/>
          <w:szCs w:val="21"/>
          <w:highlight w:val="none"/>
          <w:u w:val="single"/>
        </w:rPr>
        <w:t xml:space="preserve">                          </w:t>
      </w:r>
    </w:p>
    <w:p>
      <w:pPr>
        <w:spacing w:line="400" w:lineRule="exact"/>
        <w:ind w:firstLine="437"/>
        <w:rPr>
          <w:rFonts w:ascii="宋体" w:hAnsi="宋体" w:cs="宋体"/>
          <w:szCs w:val="21"/>
          <w:highlight w:val="none"/>
        </w:rPr>
      </w:pPr>
      <w:r>
        <w:rPr>
          <w:rFonts w:hint="eastAsia" w:ascii="宋体" w:hAnsi="宋体" w:cs="宋体"/>
          <w:szCs w:val="21"/>
          <w:highlight w:val="none"/>
        </w:rPr>
        <w:t xml:space="preserve">                    邮政编码：</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400" w:lineRule="exact"/>
        <w:ind w:firstLine="437"/>
        <w:rPr>
          <w:rFonts w:ascii="宋体" w:hAnsi="宋体" w:cs="宋体"/>
          <w:szCs w:val="21"/>
          <w:highlight w:val="none"/>
        </w:rPr>
      </w:pPr>
      <w:r>
        <w:rPr>
          <w:rFonts w:hint="eastAsia" w:ascii="宋体" w:hAnsi="宋体" w:cs="宋体"/>
          <w:szCs w:val="21"/>
          <w:highlight w:val="none"/>
        </w:rPr>
        <w:t xml:space="preserve">                    电话：</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400" w:lineRule="exact"/>
        <w:ind w:firstLine="437"/>
        <w:rPr>
          <w:rFonts w:ascii="宋体" w:hAnsi="宋体" w:cs="宋体"/>
          <w:szCs w:val="21"/>
          <w:highlight w:val="none"/>
          <w:u w:val="single"/>
        </w:rPr>
      </w:pPr>
      <w:r>
        <w:rPr>
          <w:rFonts w:hint="eastAsia" w:ascii="宋体" w:hAnsi="宋体" w:cs="宋体"/>
          <w:szCs w:val="21"/>
          <w:highlight w:val="none"/>
        </w:rPr>
        <w:t xml:space="preserve">                    传真：</w:t>
      </w:r>
      <w:r>
        <w:rPr>
          <w:rFonts w:hint="eastAsia" w:ascii="宋体" w:hAnsi="宋体" w:cs="宋体"/>
          <w:szCs w:val="21"/>
          <w:highlight w:val="none"/>
          <w:u w:val="single"/>
        </w:rPr>
        <w:t xml:space="preserve">                            </w:t>
      </w:r>
    </w:p>
    <w:p>
      <w:pPr>
        <w:spacing w:line="400" w:lineRule="exact"/>
        <w:ind w:left="3377" w:leftChars="208" w:hanging="2940" w:hangingChars="1400"/>
        <w:jc w:val="left"/>
        <w:rPr>
          <w:rFonts w:ascii="宋体" w:hAnsi="宋体" w:cs="宋体"/>
          <w:szCs w:val="21"/>
          <w:highlight w:val="none"/>
        </w:rPr>
      </w:pPr>
      <w:r>
        <w:rPr>
          <w:rFonts w:hint="eastAsia" w:ascii="宋体" w:hAnsi="宋体" w:cs="宋体"/>
          <w:szCs w:val="21"/>
          <w:highlight w:val="none"/>
        </w:rPr>
        <w:t xml:space="preserve">                    日    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tabs>
          <w:tab w:val="left" w:pos="6000"/>
          <w:tab w:val="left" w:pos="7040"/>
          <w:tab w:val="left" w:pos="8100"/>
        </w:tabs>
        <w:autoSpaceDE w:val="0"/>
        <w:autoSpaceDN w:val="0"/>
        <w:adjustRightInd w:val="0"/>
        <w:spacing w:line="220" w:lineRule="exact"/>
        <w:ind w:right="-20" w:firstLine="4924" w:firstLineChars="2345"/>
        <w:jc w:val="left"/>
        <w:rPr>
          <w:rFonts w:ascii="宋体" w:hAnsi="宋体" w:cs="楷体"/>
          <w:snapToGrid w:val="0"/>
          <w:kern w:val="0"/>
          <w:szCs w:val="21"/>
          <w:highlight w:val="none"/>
        </w:rPr>
      </w:pPr>
    </w:p>
    <w:p>
      <w:pPr>
        <w:tabs>
          <w:tab w:val="left" w:pos="6000"/>
          <w:tab w:val="left" w:pos="7040"/>
          <w:tab w:val="left" w:pos="8100"/>
        </w:tabs>
        <w:autoSpaceDE w:val="0"/>
        <w:autoSpaceDN w:val="0"/>
        <w:adjustRightInd w:val="0"/>
        <w:spacing w:line="220" w:lineRule="exact"/>
        <w:ind w:right="-20" w:firstLine="4924" w:firstLineChars="2345"/>
        <w:jc w:val="left"/>
        <w:rPr>
          <w:rFonts w:ascii="宋体" w:hAnsi="宋体" w:cs="楷体"/>
          <w:snapToGrid w:val="0"/>
          <w:kern w:val="0"/>
          <w:szCs w:val="21"/>
          <w:highlight w:val="none"/>
        </w:rPr>
      </w:pPr>
    </w:p>
    <w:p>
      <w:pPr>
        <w:tabs>
          <w:tab w:val="left" w:pos="6000"/>
          <w:tab w:val="left" w:pos="7040"/>
          <w:tab w:val="left" w:pos="8100"/>
        </w:tabs>
        <w:autoSpaceDE w:val="0"/>
        <w:autoSpaceDN w:val="0"/>
        <w:adjustRightInd w:val="0"/>
        <w:spacing w:line="220" w:lineRule="exact"/>
        <w:ind w:right="-20" w:firstLine="4924" w:firstLineChars="2345"/>
        <w:jc w:val="left"/>
        <w:rPr>
          <w:rFonts w:ascii="宋体" w:hAnsi="宋体" w:cs="楷体"/>
          <w:snapToGrid w:val="0"/>
          <w:kern w:val="0"/>
          <w:szCs w:val="21"/>
          <w:highlight w:val="none"/>
        </w:rPr>
      </w:pPr>
    </w:p>
    <w:p>
      <w:pPr>
        <w:rPr>
          <w:highlight w:val="none"/>
        </w:rPr>
      </w:pPr>
      <w:bookmarkStart w:id="31" w:name="_Toc28913"/>
      <w:bookmarkStart w:id="32" w:name="_Toc338263127"/>
      <w:bookmarkStart w:id="33" w:name="_Toc334349124"/>
      <w:bookmarkStart w:id="34" w:name="_Toc336093171"/>
    </w:p>
    <w:p>
      <w:pPr>
        <w:pStyle w:val="4"/>
        <w:jc w:val="center"/>
        <w:rPr>
          <w:rFonts w:ascii="宋体" w:hAnsi="宋体" w:cs="宋体"/>
          <w:color w:val="000000"/>
          <w:sz w:val="28"/>
          <w:highlight w:val="none"/>
        </w:rPr>
      </w:pPr>
    </w:p>
    <w:bookmarkEnd w:id="31"/>
    <w:bookmarkEnd w:id="32"/>
    <w:bookmarkEnd w:id="33"/>
    <w:bookmarkEnd w:id="34"/>
    <w:p>
      <w:pPr>
        <w:tabs>
          <w:tab w:val="left" w:pos="1680"/>
          <w:tab w:val="left" w:pos="4215"/>
          <w:tab w:val="left" w:pos="4305"/>
          <w:tab w:val="left" w:pos="8000"/>
        </w:tabs>
        <w:autoSpaceDE w:val="0"/>
        <w:autoSpaceDN w:val="0"/>
        <w:adjustRightInd w:val="0"/>
        <w:snapToGrid w:val="0"/>
        <w:spacing w:after="156" w:afterLines="50" w:line="360" w:lineRule="auto"/>
        <w:jc w:val="center"/>
        <w:rPr>
          <w:rFonts w:ascii="宋体" w:hAnsi="宋体" w:cs="楷体"/>
          <w:b/>
          <w:kern w:val="0"/>
          <w:sz w:val="28"/>
          <w:highlight w:val="none"/>
        </w:rPr>
      </w:pPr>
      <w:r>
        <w:rPr>
          <w:rFonts w:hint="eastAsia" w:ascii="宋体" w:hAnsi="宋体" w:cs="楷体"/>
          <w:b/>
          <w:kern w:val="0"/>
          <w:sz w:val="28"/>
          <w:highlight w:val="none"/>
        </w:rPr>
        <w:t>（二）法定代表人/负责人授权委托书</w:t>
      </w:r>
    </w:p>
    <w:p>
      <w:pPr>
        <w:tabs>
          <w:tab w:val="left" w:pos="1680"/>
          <w:tab w:val="left" w:pos="4215"/>
          <w:tab w:val="left" w:pos="4305"/>
          <w:tab w:val="left" w:pos="8000"/>
        </w:tabs>
        <w:autoSpaceDE w:val="0"/>
        <w:autoSpaceDN w:val="0"/>
        <w:adjustRightInd w:val="0"/>
        <w:snapToGrid w:val="0"/>
        <w:spacing w:line="360" w:lineRule="auto"/>
        <w:ind w:firstLine="420"/>
        <w:textAlignment w:val="baseline"/>
        <w:rPr>
          <w:rFonts w:ascii="宋体" w:hAnsi="宋体" w:cs="楷体"/>
          <w:kern w:val="0"/>
          <w:highlight w:val="none"/>
        </w:rPr>
      </w:pPr>
      <w:r>
        <w:rPr>
          <w:rFonts w:hint="eastAsia" w:ascii="宋体" w:hAnsi="宋体" w:cs="楷体"/>
          <w:kern w:val="0"/>
          <w:highlight w:val="none"/>
        </w:rPr>
        <w:t>本人</w:t>
      </w:r>
      <w:r>
        <w:rPr>
          <w:rFonts w:hint="eastAsia" w:ascii="宋体" w:hAnsi="宋体" w:cs="楷体"/>
          <w:kern w:val="0"/>
          <w:highlight w:val="none"/>
          <w:u w:val="single"/>
        </w:rPr>
        <w:t xml:space="preserve"> </w:t>
      </w:r>
      <w:r>
        <w:rPr>
          <w:rFonts w:hint="eastAsia" w:ascii="宋体" w:hAnsi="宋体" w:cs="楷体"/>
          <w:kern w:val="0"/>
          <w:highlight w:val="none"/>
          <w:u w:val="single"/>
        </w:rPr>
        <w:tab/>
      </w:r>
      <w:r>
        <w:rPr>
          <w:rFonts w:hint="eastAsia" w:ascii="宋体" w:hAnsi="宋体" w:cs="楷体"/>
          <w:kern w:val="0"/>
          <w:highlight w:val="none"/>
        </w:rPr>
        <w:t>（姓名）系</w:t>
      </w:r>
      <w:r>
        <w:rPr>
          <w:rFonts w:hint="eastAsia" w:ascii="宋体" w:hAnsi="宋体" w:cs="楷体"/>
          <w:kern w:val="0"/>
          <w:highlight w:val="none"/>
          <w:u w:val="single"/>
        </w:rPr>
        <w:t xml:space="preserve"> </w:t>
      </w:r>
      <w:r>
        <w:rPr>
          <w:rFonts w:hint="eastAsia" w:ascii="宋体" w:hAnsi="宋体" w:cs="楷体"/>
          <w:kern w:val="0"/>
          <w:highlight w:val="none"/>
          <w:u w:val="single"/>
        </w:rPr>
        <w:tab/>
      </w:r>
      <w:r>
        <w:rPr>
          <w:rFonts w:hint="eastAsia" w:ascii="宋体" w:hAnsi="宋体" w:cs="楷体"/>
          <w:kern w:val="0"/>
          <w:highlight w:val="none"/>
        </w:rPr>
        <w:t>（</w:t>
      </w:r>
      <w:r>
        <w:rPr>
          <w:rFonts w:hint="eastAsia" w:ascii="宋体" w:hAnsi="宋体" w:cs="楷体"/>
          <w:spacing w:val="-1"/>
          <w:kern w:val="0"/>
          <w:highlight w:val="none"/>
        </w:rPr>
        <w:t>比选申请人</w:t>
      </w:r>
      <w:r>
        <w:rPr>
          <w:rFonts w:hint="eastAsia" w:ascii="宋体" w:hAnsi="宋体" w:cs="楷体"/>
          <w:kern w:val="0"/>
          <w:highlight w:val="none"/>
        </w:rPr>
        <w:t>名称</w:t>
      </w:r>
      <w:r>
        <w:rPr>
          <w:rFonts w:hint="eastAsia" w:ascii="宋体" w:hAnsi="宋体" w:cs="楷体"/>
          <w:spacing w:val="1"/>
          <w:kern w:val="0"/>
          <w:highlight w:val="none"/>
        </w:rPr>
        <w:t>）</w:t>
      </w:r>
      <w:r>
        <w:rPr>
          <w:rFonts w:hint="eastAsia" w:ascii="宋体" w:hAnsi="宋体" w:cs="楷体"/>
          <w:kern w:val="0"/>
          <w:highlight w:val="none"/>
        </w:rPr>
        <w:t>的法定代</w:t>
      </w:r>
      <w:r>
        <w:rPr>
          <w:rFonts w:hint="eastAsia" w:ascii="宋体" w:hAnsi="宋体" w:cs="楷体"/>
          <w:spacing w:val="1"/>
          <w:kern w:val="0"/>
          <w:highlight w:val="none"/>
        </w:rPr>
        <w:t>表</w:t>
      </w:r>
      <w:r>
        <w:rPr>
          <w:rFonts w:hint="eastAsia" w:ascii="宋体" w:hAnsi="宋体" w:cs="楷体"/>
          <w:kern w:val="0"/>
          <w:highlight w:val="none"/>
        </w:rPr>
        <w:t>人/负责人，现委托</w:t>
      </w:r>
      <w:r>
        <w:rPr>
          <w:rFonts w:hint="eastAsia" w:ascii="宋体" w:hAnsi="宋体" w:cs="楷体"/>
          <w:kern w:val="0"/>
          <w:highlight w:val="none"/>
          <w:u w:val="single"/>
        </w:rPr>
        <w:t xml:space="preserve">    </w:t>
      </w:r>
      <w:r>
        <w:rPr>
          <w:rFonts w:hint="eastAsia" w:ascii="宋体" w:hAnsi="宋体" w:cs="楷体"/>
          <w:kern w:val="0"/>
          <w:highlight w:val="none"/>
          <w:u w:val="single"/>
        </w:rPr>
        <w:tab/>
      </w:r>
      <w:r>
        <w:rPr>
          <w:rFonts w:hint="eastAsia" w:ascii="宋体" w:hAnsi="宋体" w:cs="楷体"/>
          <w:kern w:val="0"/>
          <w:highlight w:val="none"/>
        </w:rPr>
        <w:t>（姓 名）为我方代理人。代理人根据授权，以我方名义签署、澄清、说明、补正、递交、撤回、 修改</w:t>
      </w:r>
      <w:r>
        <w:rPr>
          <w:rFonts w:hint="eastAsia" w:ascii="宋体" w:hAnsi="宋体" w:cs="宋体"/>
          <w:b/>
          <w:kern w:val="0"/>
          <w:szCs w:val="21"/>
          <w:highlight w:val="none"/>
          <w:u w:val="single"/>
        </w:rPr>
        <w:t xml:space="preserve">       </w:t>
      </w:r>
      <w:r>
        <w:rPr>
          <w:rFonts w:hint="eastAsia" w:ascii="宋体" w:hAnsi="宋体" w:cs="楷体"/>
          <w:kern w:val="0"/>
          <w:highlight w:val="none"/>
        </w:rPr>
        <w:t>比选申请文件， 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textAlignment w:val="baseline"/>
        <w:rPr>
          <w:rFonts w:ascii="宋体" w:hAnsi="宋体" w:cs="楷体"/>
          <w:kern w:val="0"/>
          <w:highlight w:val="none"/>
        </w:rPr>
      </w:pPr>
      <w:r>
        <w:rPr>
          <w:rFonts w:hint="eastAsia" w:ascii="宋体" w:hAnsi="宋体" w:cs="楷体"/>
          <w:kern w:val="0"/>
          <w:highlight w:val="none"/>
        </w:rPr>
        <w:t>委托</w:t>
      </w:r>
      <w:r>
        <w:rPr>
          <w:rFonts w:hint="eastAsia" w:ascii="宋体" w:hAnsi="宋体" w:cs="楷体"/>
          <w:spacing w:val="-1"/>
          <w:kern w:val="0"/>
          <w:highlight w:val="none"/>
        </w:rPr>
        <w:t>期</w:t>
      </w:r>
      <w:r>
        <w:rPr>
          <w:rFonts w:hint="eastAsia" w:ascii="宋体" w:hAnsi="宋体" w:cs="楷体"/>
          <w:kern w:val="0"/>
          <w:highlight w:val="none"/>
        </w:rPr>
        <w:t>限：</w:t>
      </w:r>
      <w:r>
        <w:rPr>
          <w:rFonts w:hint="eastAsia" w:ascii="宋体" w:hAnsi="宋体" w:cs="楷体"/>
          <w:kern w:val="0"/>
          <w:highlight w:val="none"/>
          <w:u w:val="single"/>
        </w:rPr>
        <w:t xml:space="preserve">  </w:t>
      </w:r>
      <w:r>
        <w:rPr>
          <w:rFonts w:hint="eastAsia" w:ascii="宋体" w:hAnsi="宋体" w:cs="楷体"/>
          <w:kern w:val="0"/>
          <w:highlight w:val="none"/>
          <w:u w:val="single"/>
        </w:rPr>
        <w:tab/>
      </w:r>
      <w:r>
        <w:rPr>
          <w:rFonts w:hint="eastAsia" w:ascii="宋体" w:hAnsi="宋体" w:cs="楷体"/>
          <w:kern w:val="0"/>
          <w:highlight w:val="none"/>
          <w:u w:val="single"/>
        </w:rPr>
        <w:t xml:space="preserve">                             </w:t>
      </w:r>
      <w:r>
        <w:rPr>
          <w:rFonts w:hint="eastAsia" w:ascii="宋体" w:hAnsi="宋体" w:cs="楷体"/>
          <w:kern w:val="0"/>
          <w:highlight w:val="none"/>
        </w:rPr>
        <w:t xml:space="preserve">。 </w:t>
      </w:r>
    </w:p>
    <w:p>
      <w:pPr>
        <w:tabs>
          <w:tab w:val="left" w:pos="1680"/>
          <w:tab w:val="left" w:pos="4215"/>
          <w:tab w:val="left" w:pos="4305"/>
          <w:tab w:val="left" w:pos="8000"/>
        </w:tabs>
        <w:autoSpaceDE w:val="0"/>
        <w:autoSpaceDN w:val="0"/>
        <w:adjustRightInd w:val="0"/>
        <w:snapToGrid w:val="0"/>
        <w:spacing w:line="360" w:lineRule="auto"/>
        <w:ind w:firstLine="420"/>
        <w:textAlignment w:val="baseline"/>
        <w:rPr>
          <w:rFonts w:ascii="宋体" w:hAnsi="宋体" w:cs="楷体"/>
          <w:kern w:val="0"/>
          <w:highlight w:val="none"/>
        </w:rPr>
      </w:pPr>
      <w:r>
        <w:rPr>
          <w:rFonts w:hint="eastAsia" w:ascii="宋体" w:hAnsi="宋体" w:cs="楷体"/>
          <w:kern w:val="0"/>
          <w:highlight w:val="none"/>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textAlignment w:val="baseline"/>
        <w:rPr>
          <w:rFonts w:ascii="宋体" w:hAnsi="宋体" w:cs="楷体"/>
          <w:kern w:val="0"/>
          <w:highlight w:val="none"/>
        </w:rPr>
      </w:pPr>
      <w:r>
        <w:rPr>
          <w:rFonts w:hint="eastAsia" w:ascii="宋体" w:hAnsi="宋体" w:cs="楷体"/>
          <w:kern w:val="0"/>
          <w:highlight w:val="none"/>
        </w:rPr>
        <w:t>附：法定代表人/负责人身份证明。</w:t>
      </w:r>
    </w:p>
    <w:p>
      <w:pPr>
        <w:framePr w:hSpace="180" w:wrap="around" w:vAnchor="text" w:hAnchor="margin" w:y="264"/>
        <w:tabs>
          <w:tab w:val="left" w:pos="4200"/>
          <w:tab w:val="left" w:pos="4620"/>
        </w:tabs>
        <w:autoSpaceDE w:val="0"/>
        <w:autoSpaceDN w:val="0"/>
        <w:adjustRightInd w:val="0"/>
        <w:snapToGrid w:val="0"/>
        <w:spacing w:line="360" w:lineRule="auto"/>
        <w:ind w:firstLine="1694"/>
        <w:jc w:val="left"/>
        <w:textAlignment w:val="baseline"/>
        <w:rPr>
          <w:rFonts w:ascii="宋体" w:hAnsi="宋体" w:cs="楷体"/>
          <w:kern w:val="0"/>
          <w:highlight w:val="none"/>
        </w:rPr>
      </w:pPr>
      <w:r>
        <w:rPr>
          <w:rFonts w:hint="eastAsia" w:ascii="宋体" w:hAnsi="宋体" w:cs="楷体"/>
          <w:kern w:val="0"/>
          <w:highlight w:val="none"/>
        </w:rPr>
        <w:t>比选申请人：</w:t>
      </w:r>
      <w:r>
        <w:rPr>
          <w:rFonts w:hint="eastAsia" w:ascii="宋体" w:hAnsi="宋体" w:cs="楷体"/>
          <w:kern w:val="0"/>
          <w:highlight w:val="none"/>
          <w:u w:val="single"/>
        </w:rPr>
        <w:t xml:space="preserve">              </w:t>
      </w:r>
      <w:r>
        <w:rPr>
          <w:rFonts w:hint="eastAsia" w:ascii="宋体" w:hAnsi="宋体" w:cs="楷体"/>
          <w:kern w:val="0"/>
          <w:highlight w:val="none"/>
          <w:u w:val="single"/>
        </w:rPr>
        <w:tab/>
      </w:r>
      <w:r>
        <w:rPr>
          <w:rFonts w:hint="eastAsia" w:ascii="宋体" w:hAnsi="宋体" w:cs="楷体"/>
          <w:kern w:val="0"/>
          <w:highlight w:val="none"/>
          <w:u w:val="single"/>
        </w:rPr>
        <w:t xml:space="preserve">    </w:t>
      </w:r>
      <w:r>
        <w:rPr>
          <w:rFonts w:hint="eastAsia" w:ascii="宋体" w:hAnsi="宋体" w:cs="楷体"/>
          <w:kern w:val="0"/>
          <w:highlight w:val="none"/>
        </w:rPr>
        <w:t>（</w:t>
      </w:r>
      <w:r>
        <w:rPr>
          <w:rFonts w:hint="eastAsia" w:ascii="宋体" w:hAnsi="宋体" w:cs="楷体"/>
          <w:spacing w:val="-1"/>
          <w:kern w:val="0"/>
          <w:highlight w:val="none"/>
        </w:rPr>
        <w:t>盖</w:t>
      </w:r>
      <w:r>
        <w:rPr>
          <w:rFonts w:hint="eastAsia" w:ascii="宋体" w:hAnsi="宋体" w:cs="楷体"/>
          <w:kern w:val="0"/>
          <w:highlight w:val="none"/>
        </w:rPr>
        <w:t xml:space="preserve">单位公章） </w:t>
      </w:r>
    </w:p>
    <w:p>
      <w:pPr>
        <w:framePr w:hSpace="180" w:wrap="around" w:vAnchor="text" w:hAnchor="margin" w:y="264"/>
        <w:tabs>
          <w:tab w:val="left" w:pos="6300"/>
        </w:tabs>
        <w:autoSpaceDE w:val="0"/>
        <w:autoSpaceDN w:val="0"/>
        <w:adjustRightInd w:val="0"/>
        <w:snapToGrid w:val="0"/>
        <w:spacing w:line="360" w:lineRule="auto"/>
        <w:ind w:firstLine="1680"/>
        <w:jc w:val="left"/>
        <w:textAlignment w:val="baseline"/>
        <w:rPr>
          <w:rFonts w:ascii="宋体" w:hAnsi="宋体" w:cs="楷体"/>
          <w:kern w:val="0"/>
          <w:highlight w:val="none"/>
        </w:rPr>
      </w:pPr>
      <w:r>
        <w:rPr>
          <w:rFonts w:hint="eastAsia" w:ascii="宋体" w:hAnsi="宋体" w:cs="楷体"/>
          <w:kern w:val="0"/>
          <w:highlight w:val="none"/>
        </w:rPr>
        <w:t>法定代表人/负责人：</w:t>
      </w:r>
      <w:r>
        <w:rPr>
          <w:rFonts w:hint="eastAsia" w:ascii="宋体" w:hAnsi="宋体" w:cs="楷体"/>
          <w:kern w:val="0"/>
          <w:highlight w:val="none"/>
          <w:u w:val="single"/>
        </w:rPr>
        <w:t xml:space="preserve"> </w:t>
      </w:r>
      <w:r>
        <w:rPr>
          <w:rFonts w:hint="eastAsia" w:ascii="宋体" w:hAnsi="宋体" w:cs="楷体"/>
          <w:kern w:val="0"/>
          <w:highlight w:val="none"/>
          <w:u w:val="single"/>
        </w:rPr>
        <w:tab/>
      </w:r>
      <w:r>
        <w:rPr>
          <w:rFonts w:hint="eastAsia" w:ascii="宋体" w:hAnsi="宋体" w:cs="楷体"/>
          <w:kern w:val="0"/>
          <w:highlight w:val="none"/>
          <w:u w:val="single"/>
        </w:rPr>
        <w:tab/>
      </w:r>
      <w:r>
        <w:rPr>
          <w:rFonts w:hint="eastAsia" w:ascii="宋体" w:hAnsi="宋体" w:cs="楷体"/>
          <w:kern w:val="0"/>
          <w:highlight w:val="none"/>
        </w:rPr>
        <w:t>（签字或盖章）</w:t>
      </w:r>
    </w:p>
    <w:p>
      <w:pPr>
        <w:framePr w:hSpace="180" w:wrap="around" w:vAnchor="text" w:hAnchor="margin" w:y="264"/>
        <w:tabs>
          <w:tab w:val="left" w:pos="5260"/>
        </w:tabs>
        <w:autoSpaceDE w:val="0"/>
        <w:autoSpaceDN w:val="0"/>
        <w:adjustRightInd w:val="0"/>
        <w:snapToGrid w:val="0"/>
        <w:spacing w:line="360" w:lineRule="auto"/>
        <w:ind w:firstLine="1680"/>
        <w:jc w:val="left"/>
        <w:textAlignment w:val="baseline"/>
        <w:rPr>
          <w:rFonts w:ascii="宋体" w:hAnsi="宋体" w:cs="楷体"/>
          <w:kern w:val="0"/>
          <w:highlight w:val="none"/>
        </w:rPr>
      </w:pPr>
      <w:r>
        <w:rPr>
          <w:rFonts w:hint="eastAsia" w:ascii="宋体" w:hAnsi="宋体" w:cs="楷体"/>
          <w:kern w:val="0"/>
          <w:highlight w:val="none"/>
        </w:rPr>
        <w:t>身份证号码：</w:t>
      </w:r>
      <w:r>
        <w:rPr>
          <w:rFonts w:hint="eastAsia" w:ascii="宋体" w:hAnsi="宋体" w:cs="楷体"/>
          <w:kern w:val="0"/>
          <w:highlight w:val="none"/>
          <w:u w:val="single"/>
        </w:rPr>
        <w:t xml:space="preserve">                                </w:t>
      </w:r>
      <w:r>
        <w:rPr>
          <w:rFonts w:hint="eastAsia" w:ascii="宋体" w:hAnsi="宋体" w:cs="楷体"/>
          <w:kern w:val="0"/>
          <w:highlight w:val="none"/>
          <w:u w:val="single"/>
        </w:rPr>
        <w:tab/>
      </w:r>
    </w:p>
    <w:p>
      <w:pPr>
        <w:framePr w:hSpace="180" w:wrap="around" w:vAnchor="text" w:hAnchor="margin" w:y="264"/>
        <w:tabs>
          <w:tab w:val="left" w:pos="6720"/>
        </w:tabs>
        <w:autoSpaceDE w:val="0"/>
        <w:autoSpaceDN w:val="0"/>
        <w:adjustRightInd w:val="0"/>
        <w:snapToGrid w:val="0"/>
        <w:spacing w:line="360" w:lineRule="auto"/>
        <w:ind w:firstLine="1680"/>
        <w:jc w:val="left"/>
        <w:textAlignment w:val="baseline"/>
        <w:rPr>
          <w:rFonts w:ascii="宋体" w:hAnsi="宋体" w:cs="楷体"/>
          <w:kern w:val="0"/>
          <w:highlight w:val="none"/>
        </w:rPr>
      </w:pPr>
      <w:r>
        <w:rPr>
          <w:rFonts w:hint="eastAsia" w:ascii="宋体" w:hAnsi="宋体" w:cs="楷体"/>
          <w:kern w:val="0"/>
          <w:highlight w:val="none"/>
        </w:rPr>
        <w:t>委托代理人：</w:t>
      </w:r>
      <w:r>
        <w:rPr>
          <w:rFonts w:hint="eastAsia" w:ascii="宋体" w:hAnsi="宋体" w:cs="楷体"/>
          <w:kern w:val="0"/>
          <w:highlight w:val="none"/>
          <w:u w:val="single"/>
        </w:rPr>
        <w:t xml:space="preserve"> </w:t>
      </w:r>
      <w:r>
        <w:rPr>
          <w:rFonts w:hint="eastAsia" w:ascii="宋体" w:hAnsi="宋体" w:cs="楷体"/>
          <w:kern w:val="0"/>
          <w:highlight w:val="none"/>
          <w:u w:val="single"/>
        </w:rPr>
        <w:tab/>
      </w:r>
      <w:r>
        <w:rPr>
          <w:rFonts w:hint="eastAsia" w:ascii="宋体" w:hAnsi="宋体" w:cs="楷体"/>
          <w:kern w:val="0"/>
          <w:highlight w:val="none"/>
        </w:rPr>
        <w:t>（签</w:t>
      </w:r>
      <w:r>
        <w:rPr>
          <w:rFonts w:hint="eastAsia" w:ascii="宋体" w:hAnsi="宋体" w:cs="楷体"/>
          <w:spacing w:val="-1"/>
          <w:kern w:val="0"/>
          <w:highlight w:val="none"/>
        </w:rPr>
        <w:t>字</w:t>
      </w:r>
      <w:r>
        <w:rPr>
          <w:rFonts w:hint="eastAsia" w:ascii="宋体" w:hAnsi="宋体" w:cs="楷体"/>
          <w:kern w:val="0"/>
          <w:highlight w:val="none"/>
        </w:rPr>
        <w:t>）</w:t>
      </w:r>
    </w:p>
    <w:p>
      <w:pPr>
        <w:framePr w:hSpace="180" w:wrap="around" w:vAnchor="text" w:hAnchor="margin" w:y="264"/>
        <w:tabs>
          <w:tab w:val="left" w:pos="6825"/>
        </w:tabs>
        <w:autoSpaceDE w:val="0"/>
        <w:autoSpaceDN w:val="0"/>
        <w:adjustRightInd w:val="0"/>
        <w:snapToGrid w:val="0"/>
        <w:spacing w:line="360" w:lineRule="auto"/>
        <w:ind w:firstLine="1680"/>
        <w:jc w:val="left"/>
        <w:textAlignment w:val="baseline"/>
        <w:rPr>
          <w:rFonts w:ascii="宋体" w:hAnsi="宋体" w:cs="楷体"/>
          <w:kern w:val="0"/>
          <w:highlight w:val="none"/>
        </w:rPr>
      </w:pPr>
      <w:r>
        <w:rPr>
          <w:rFonts w:hint="eastAsia" w:ascii="宋体" w:hAnsi="宋体" w:cs="楷体"/>
          <w:kern w:val="0"/>
          <w:highlight w:val="none"/>
        </w:rPr>
        <w:t>身份证号码：</w:t>
      </w:r>
      <w:r>
        <w:rPr>
          <w:rFonts w:hint="eastAsia" w:ascii="宋体" w:hAnsi="宋体" w:cs="楷体"/>
          <w:kern w:val="0"/>
          <w:highlight w:val="none"/>
          <w:u w:val="single"/>
        </w:rPr>
        <w:t xml:space="preserve"> </w:t>
      </w:r>
      <w:r>
        <w:rPr>
          <w:rFonts w:hint="eastAsia" w:ascii="宋体" w:hAnsi="宋体" w:cs="楷体"/>
          <w:kern w:val="0"/>
          <w:highlight w:val="none"/>
          <w:u w:val="single"/>
        </w:rPr>
        <w:tab/>
      </w:r>
    </w:p>
    <w:p>
      <w:pPr>
        <w:framePr w:hSpace="180" w:wrap="around" w:vAnchor="text" w:hAnchor="margin" w:y="264"/>
        <w:tabs>
          <w:tab w:val="left" w:pos="4005"/>
          <w:tab w:val="left" w:pos="4100"/>
          <w:tab w:val="left" w:pos="5040"/>
        </w:tabs>
        <w:autoSpaceDE w:val="0"/>
        <w:autoSpaceDN w:val="0"/>
        <w:adjustRightInd w:val="0"/>
        <w:snapToGrid w:val="0"/>
        <w:spacing w:line="360" w:lineRule="auto"/>
        <w:ind w:firstLine="3780"/>
        <w:jc w:val="left"/>
        <w:rPr>
          <w:rFonts w:ascii="宋体" w:hAnsi="宋体" w:cs="楷体"/>
          <w:kern w:val="0"/>
          <w:highlight w:val="none"/>
        </w:rPr>
      </w:pPr>
      <w:r>
        <w:rPr>
          <w:rFonts w:hint="eastAsia" w:ascii="宋体" w:hAnsi="宋体" w:cs="楷体"/>
          <w:kern w:val="0"/>
          <w:highlight w:val="none"/>
          <w:u w:val="single"/>
        </w:rPr>
        <w:t xml:space="preserve">     </w:t>
      </w:r>
      <w:r>
        <w:rPr>
          <w:rFonts w:hint="eastAsia" w:ascii="宋体" w:hAnsi="宋体" w:cs="楷体"/>
          <w:kern w:val="0"/>
          <w:highlight w:val="none"/>
          <w:u w:val="single"/>
        </w:rPr>
        <w:tab/>
      </w:r>
      <w:r>
        <w:rPr>
          <w:rFonts w:hint="eastAsia" w:ascii="宋体" w:hAnsi="宋体" w:cs="楷体"/>
          <w:kern w:val="0"/>
          <w:highlight w:val="none"/>
        </w:rPr>
        <w:t>年</w:t>
      </w:r>
      <w:r>
        <w:rPr>
          <w:rFonts w:hint="eastAsia" w:ascii="宋体" w:hAnsi="宋体" w:cs="楷体"/>
          <w:kern w:val="0"/>
          <w:highlight w:val="none"/>
          <w:u w:val="single"/>
        </w:rPr>
        <w:t xml:space="preserve">  </w:t>
      </w:r>
      <w:r>
        <w:rPr>
          <w:rFonts w:hint="eastAsia" w:ascii="宋体" w:hAnsi="宋体" w:cs="楷体"/>
          <w:kern w:val="0"/>
          <w:highlight w:val="none"/>
          <w:u w:val="single"/>
        </w:rPr>
        <w:tab/>
      </w:r>
      <w:r>
        <w:rPr>
          <w:rFonts w:hint="eastAsia" w:ascii="宋体" w:hAnsi="宋体" w:cs="楷体"/>
          <w:kern w:val="0"/>
          <w:highlight w:val="none"/>
        </w:rPr>
        <w:t>月</w:t>
      </w:r>
      <w:r>
        <w:rPr>
          <w:rFonts w:hint="eastAsia" w:ascii="宋体" w:hAnsi="宋体" w:cs="楷体"/>
          <w:kern w:val="0"/>
          <w:highlight w:val="none"/>
          <w:u w:val="single"/>
        </w:rPr>
        <w:t xml:space="preserve"> </w:t>
      </w:r>
      <w:r>
        <w:rPr>
          <w:rFonts w:hint="eastAsia" w:ascii="宋体" w:hAnsi="宋体" w:cs="楷体"/>
          <w:kern w:val="0"/>
          <w:highlight w:val="none"/>
          <w:u w:val="single"/>
        </w:rPr>
        <w:tab/>
      </w:r>
      <w:r>
        <w:rPr>
          <w:rFonts w:hint="eastAsia" w:ascii="宋体" w:hAnsi="宋体" w:cs="楷体"/>
          <w:kern w:val="0"/>
          <w:highlight w:val="none"/>
          <w:u w:val="single"/>
        </w:rPr>
        <w:t xml:space="preserve">        </w:t>
      </w:r>
      <w:r>
        <w:rPr>
          <w:rFonts w:hint="eastAsia" w:ascii="宋体" w:hAnsi="宋体" w:cs="楷体"/>
          <w:kern w:val="0"/>
          <w:highlight w:val="none"/>
        </w:rPr>
        <w:t>日</w:t>
      </w:r>
    </w:p>
    <w:p>
      <w:pPr>
        <w:autoSpaceDE w:val="0"/>
        <w:autoSpaceDN w:val="0"/>
        <w:adjustRightInd w:val="0"/>
        <w:snapToGrid w:val="0"/>
        <w:spacing w:line="360" w:lineRule="auto"/>
        <w:jc w:val="left"/>
        <w:rPr>
          <w:rFonts w:ascii="宋体" w:hAnsi="宋体" w:cs="楷体"/>
          <w:kern w:val="0"/>
          <w:highlight w:val="none"/>
        </w:rPr>
      </w:pPr>
    </w:p>
    <w:p>
      <w:pPr>
        <w:rPr>
          <w:rFonts w:ascii="宋体" w:hAnsi="宋体" w:cs="楷体"/>
          <w:vanish/>
          <w:highlight w:val="none"/>
        </w:rPr>
      </w:pPr>
    </w:p>
    <w:p>
      <w:pPr>
        <w:tabs>
          <w:tab w:val="left" w:pos="5760"/>
        </w:tabs>
        <w:autoSpaceDE w:val="0"/>
        <w:autoSpaceDN w:val="0"/>
        <w:adjustRightInd w:val="0"/>
        <w:spacing w:line="300" w:lineRule="exact"/>
        <w:ind w:left="820" w:leftChars="253" w:right="11" w:hanging="289" w:hangingChars="138"/>
        <w:rPr>
          <w:rFonts w:ascii="宋体" w:hAnsi="宋体" w:cs="楷体"/>
          <w:kern w:val="0"/>
          <w:highlight w:val="none"/>
        </w:rPr>
      </w:pPr>
    </w:p>
    <w:p>
      <w:pPr>
        <w:tabs>
          <w:tab w:val="left" w:pos="5760"/>
        </w:tabs>
        <w:autoSpaceDE w:val="0"/>
        <w:autoSpaceDN w:val="0"/>
        <w:adjustRightInd w:val="0"/>
        <w:spacing w:line="300" w:lineRule="exact"/>
        <w:ind w:right="11"/>
        <w:rPr>
          <w:rFonts w:ascii="宋体" w:hAnsi="宋体" w:cs="楷体"/>
          <w:kern w:val="0"/>
          <w:highlight w:val="none"/>
        </w:rPr>
      </w:pPr>
    </w:p>
    <w:p>
      <w:pPr>
        <w:tabs>
          <w:tab w:val="left" w:pos="5760"/>
        </w:tabs>
        <w:autoSpaceDE w:val="0"/>
        <w:autoSpaceDN w:val="0"/>
        <w:adjustRightInd w:val="0"/>
        <w:spacing w:line="300" w:lineRule="exact"/>
        <w:ind w:left="820" w:leftChars="253" w:right="11" w:hanging="289" w:hangingChars="138"/>
        <w:rPr>
          <w:rFonts w:ascii="宋体" w:hAnsi="宋体" w:cs="楷体"/>
          <w:kern w:val="0"/>
          <w:highlight w:val="none"/>
        </w:rPr>
      </w:pPr>
    </w:p>
    <w:p>
      <w:pPr>
        <w:tabs>
          <w:tab w:val="left" w:pos="5760"/>
        </w:tabs>
        <w:autoSpaceDE w:val="0"/>
        <w:autoSpaceDN w:val="0"/>
        <w:adjustRightInd w:val="0"/>
        <w:spacing w:line="300" w:lineRule="exact"/>
        <w:ind w:left="820" w:leftChars="253" w:right="11" w:hanging="289" w:hangingChars="138"/>
        <w:rPr>
          <w:rFonts w:ascii="宋体" w:hAnsi="宋体" w:cs="楷体"/>
          <w:kern w:val="0"/>
          <w:highlight w:val="none"/>
        </w:rPr>
      </w:pPr>
    </w:p>
    <w:p>
      <w:pPr>
        <w:tabs>
          <w:tab w:val="left" w:pos="5760"/>
        </w:tabs>
        <w:autoSpaceDE w:val="0"/>
        <w:autoSpaceDN w:val="0"/>
        <w:adjustRightInd w:val="0"/>
        <w:spacing w:line="300" w:lineRule="exact"/>
        <w:ind w:left="820" w:leftChars="253" w:right="11" w:hanging="289" w:hangingChars="138"/>
        <w:rPr>
          <w:rFonts w:ascii="宋体" w:hAnsi="宋体" w:cs="楷体"/>
          <w:kern w:val="0"/>
          <w:highlight w:val="none"/>
        </w:rPr>
      </w:pPr>
    </w:p>
    <w:p>
      <w:pPr>
        <w:pStyle w:val="4"/>
        <w:jc w:val="center"/>
        <w:rPr>
          <w:rFonts w:ascii="宋体" w:hAnsi="宋体" w:cs="楷体"/>
          <w:sz w:val="28"/>
          <w:highlight w:val="none"/>
        </w:rPr>
      </w:pPr>
      <w:bookmarkStart w:id="35" w:name="_Toc240287566"/>
      <w:bookmarkStart w:id="36" w:name="_Toc277541817"/>
    </w:p>
    <w:p>
      <w:pPr>
        <w:pStyle w:val="4"/>
        <w:jc w:val="center"/>
        <w:rPr>
          <w:rFonts w:ascii="宋体" w:hAnsi="宋体" w:cs="楷体"/>
          <w:sz w:val="28"/>
          <w:highlight w:val="none"/>
        </w:rPr>
      </w:pPr>
    </w:p>
    <w:p>
      <w:pPr>
        <w:tabs>
          <w:tab w:val="left" w:pos="5760"/>
        </w:tabs>
        <w:autoSpaceDE w:val="0"/>
        <w:autoSpaceDN w:val="0"/>
        <w:adjustRightInd w:val="0"/>
        <w:spacing w:line="300" w:lineRule="exact"/>
        <w:ind w:left="735" w:right="11" w:hanging="735" w:hangingChars="350"/>
        <w:rPr>
          <w:rFonts w:ascii="宋体" w:hAnsi="宋体" w:cs="楷体"/>
          <w:kern w:val="0"/>
          <w:szCs w:val="21"/>
          <w:highlight w:val="none"/>
        </w:rPr>
      </w:pPr>
    </w:p>
    <w:p>
      <w:pPr>
        <w:tabs>
          <w:tab w:val="left" w:pos="5760"/>
        </w:tabs>
        <w:autoSpaceDE w:val="0"/>
        <w:autoSpaceDN w:val="0"/>
        <w:adjustRightInd w:val="0"/>
        <w:spacing w:line="300" w:lineRule="exact"/>
        <w:ind w:left="630" w:right="11" w:hanging="630" w:hangingChars="350"/>
        <w:rPr>
          <w:rFonts w:ascii="宋体" w:hAnsi="宋体" w:cs="楷体"/>
          <w:kern w:val="0"/>
          <w:sz w:val="18"/>
          <w:szCs w:val="18"/>
          <w:highlight w:val="none"/>
        </w:rPr>
      </w:pPr>
    </w:p>
    <w:p>
      <w:pPr>
        <w:tabs>
          <w:tab w:val="left" w:pos="5760"/>
        </w:tabs>
        <w:autoSpaceDE w:val="0"/>
        <w:autoSpaceDN w:val="0"/>
        <w:adjustRightInd w:val="0"/>
        <w:spacing w:line="300" w:lineRule="exact"/>
        <w:ind w:left="630" w:right="11" w:hanging="630" w:hangingChars="350"/>
        <w:rPr>
          <w:rFonts w:ascii="宋体" w:hAnsi="宋体" w:cs="楷体"/>
          <w:kern w:val="0"/>
          <w:sz w:val="18"/>
          <w:szCs w:val="18"/>
          <w:highlight w:val="none"/>
        </w:rPr>
      </w:pPr>
    </w:p>
    <w:p>
      <w:pPr>
        <w:tabs>
          <w:tab w:val="left" w:pos="5760"/>
        </w:tabs>
        <w:autoSpaceDE w:val="0"/>
        <w:autoSpaceDN w:val="0"/>
        <w:adjustRightInd w:val="0"/>
        <w:spacing w:line="300" w:lineRule="exact"/>
        <w:ind w:left="630" w:right="11" w:hanging="630" w:hangingChars="350"/>
        <w:rPr>
          <w:rFonts w:ascii="宋体" w:hAnsi="宋体" w:cs="楷体"/>
          <w:kern w:val="0"/>
          <w:sz w:val="18"/>
          <w:szCs w:val="18"/>
          <w:highlight w:val="none"/>
        </w:rPr>
      </w:pPr>
      <w:r>
        <w:rPr>
          <w:rFonts w:hint="eastAsia" w:ascii="宋体" w:hAnsi="宋体" w:cs="楷体"/>
          <w:kern w:val="0"/>
          <w:sz w:val="18"/>
          <w:szCs w:val="18"/>
          <w:highlight w:val="none"/>
        </w:rPr>
        <w:t>注：1、法定代表人参加投标活动并签署文件的不需要授权委托书，只需提供法定代表人身份证明文件；非法定代表人参加投标活动及签署文件的须提供授权委托书。</w:t>
      </w:r>
    </w:p>
    <w:p>
      <w:pPr>
        <w:tabs>
          <w:tab w:val="left" w:pos="5760"/>
        </w:tabs>
        <w:autoSpaceDE w:val="0"/>
        <w:autoSpaceDN w:val="0"/>
        <w:adjustRightInd w:val="0"/>
        <w:spacing w:line="300" w:lineRule="exact"/>
        <w:ind w:left="779" w:leftChars="253" w:right="11" w:hanging="248" w:hangingChars="138"/>
        <w:rPr>
          <w:rFonts w:ascii="宋体" w:hAnsi="宋体" w:cs="楷体"/>
          <w:sz w:val="18"/>
          <w:szCs w:val="18"/>
          <w:highlight w:val="none"/>
        </w:rPr>
      </w:pPr>
      <w:r>
        <w:rPr>
          <w:rFonts w:hint="eastAsia" w:ascii="宋体" w:hAnsi="宋体" w:cs="楷体"/>
          <w:kern w:val="0"/>
          <w:sz w:val="18"/>
          <w:szCs w:val="18"/>
          <w:highlight w:val="none"/>
        </w:rPr>
        <w:t>2、法定代表人身份证明及授权委托书原件装入比选申请文件一并递交。</w:t>
      </w:r>
      <w:bookmarkEnd w:id="35"/>
      <w:bookmarkEnd w:id="36"/>
    </w:p>
    <w:p>
      <w:pPr>
        <w:spacing w:line="360" w:lineRule="auto"/>
        <w:ind w:firstLine="420" w:firstLineChars="200"/>
        <w:rPr>
          <w:rFonts w:ascii="仿宋_GB2312" w:eastAsia="仿宋_GB2312"/>
          <w:szCs w:val="21"/>
          <w:highlight w:val="none"/>
        </w:rPr>
      </w:pPr>
    </w:p>
    <w:p>
      <w:pPr>
        <w:spacing w:before="312" w:beforeLines="100" w:after="312" w:afterLines="100" w:line="560" w:lineRule="exact"/>
        <w:jc w:val="center"/>
        <w:rPr>
          <w:rFonts w:ascii="宋体" w:hAnsi="宋体" w:cs="楷体"/>
          <w:b/>
          <w:kern w:val="0"/>
          <w:sz w:val="28"/>
          <w:highlight w:val="none"/>
        </w:rPr>
      </w:pPr>
    </w:p>
    <w:bookmarkEnd w:id="26"/>
    <w:p>
      <w:pPr>
        <w:spacing w:before="312" w:beforeLines="100" w:after="312" w:afterLines="100" w:line="560" w:lineRule="exact"/>
        <w:jc w:val="center"/>
        <w:rPr>
          <w:rFonts w:ascii="宋体" w:hAnsi="宋体" w:cs="楷体"/>
          <w:b/>
          <w:kern w:val="0"/>
          <w:sz w:val="28"/>
          <w:highlight w:val="none"/>
        </w:rPr>
      </w:pPr>
    </w:p>
    <w:sectPr>
      <w:pgSz w:w="11906" w:h="16838"/>
      <w:pgMar w:top="992" w:right="1558" w:bottom="850" w:left="1701" w:header="851" w:footer="992" w:gutter="0"/>
      <w:pgNumType w:start="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font>
  <w:font w:name="新宋体">
    <w:panose1 w:val="02010609030101010101"/>
    <w:charset w:val="86"/>
    <w:family w:val="modern"/>
    <w:pitch w:val="default"/>
    <w:sig w:usb0="00000203" w:usb1="288F0000" w:usb2="00000006" w:usb3="00000000" w:csb0="00040001"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9"/>
      </w:rPr>
    </w:pPr>
    <w:r>
      <w:fldChar w:fldCharType="begin"/>
    </w:r>
    <w:r>
      <w:rPr>
        <w:rStyle w:val="29"/>
      </w:rPr>
      <w:instrText xml:space="preserve">PAGE  </w:instrText>
    </w:r>
    <w:r>
      <w:fldChar w:fldCharType="separate"/>
    </w:r>
    <w:r>
      <w:rPr>
        <w:rStyle w:val="29"/>
      </w:rPr>
      <w:t>1</w:t>
    </w:r>
    <w:r>
      <w:fldChar w:fldCharType="end"/>
    </w:r>
  </w:p>
  <w:p>
    <w:pPr>
      <w:pStyle w:val="1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left"/>
      <w:rPr>
        <w:rFonts w:ascii="黑体" w:hAnsi="黑体" w:eastAsia="黑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E11A4D"/>
    <w:multiLevelType w:val="singleLevel"/>
    <w:tmpl w:val="56E11A4D"/>
    <w:lvl w:ilvl="0" w:tentative="0">
      <w:start w:val="3"/>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9C5"/>
    <w:rsid w:val="00000E93"/>
    <w:rsid w:val="00003288"/>
    <w:rsid w:val="00003DDD"/>
    <w:rsid w:val="00004C37"/>
    <w:rsid w:val="00006442"/>
    <w:rsid w:val="00007632"/>
    <w:rsid w:val="00012261"/>
    <w:rsid w:val="00013201"/>
    <w:rsid w:val="000138FC"/>
    <w:rsid w:val="00014B88"/>
    <w:rsid w:val="00014C4E"/>
    <w:rsid w:val="0001509F"/>
    <w:rsid w:val="00015271"/>
    <w:rsid w:val="000170AD"/>
    <w:rsid w:val="00017F04"/>
    <w:rsid w:val="000205D4"/>
    <w:rsid w:val="00020EE7"/>
    <w:rsid w:val="000210C3"/>
    <w:rsid w:val="00021381"/>
    <w:rsid w:val="000229E2"/>
    <w:rsid w:val="00022E54"/>
    <w:rsid w:val="00023713"/>
    <w:rsid w:val="00024E57"/>
    <w:rsid w:val="00025883"/>
    <w:rsid w:val="0003004F"/>
    <w:rsid w:val="000314EC"/>
    <w:rsid w:val="000323AB"/>
    <w:rsid w:val="00032650"/>
    <w:rsid w:val="000328F6"/>
    <w:rsid w:val="00034D13"/>
    <w:rsid w:val="00034E7D"/>
    <w:rsid w:val="00035650"/>
    <w:rsid w:val="00035752"/>
    <w:rsid w:val="00035BEA"/>
    <w:rsid w:val="0003637D"/>
    <w:rsid w:val="000405A5"/>
    <w:rsid w:val="00040859"/>
    <w:rsid w:val="00041C67"/>
    <w:rsid w:val="00042A4F"/>
    <w:rsid w:val="000434C7"/>
    <w:rsid w:val="000444C1"/>
    <w:rsid w:val="00044873"/>
    <w:rsid w:val="0004596D"/>
    <w:rsid w:val="0004760B"/>
    <w:rsid w:val="0005092B"/>
    <w:rsid w:val="0005241C"/>
    <w:rsid w:val="00052AEC"/>
    <w:rsid w:val="00054D16"/>
    <w:rsid w:val="00054FED"/>
    <w:rsid w:val="000565BA"/>
    <w:rsid w:val="00062E98"/>
    <w:rsid w:val="00065D83"/>
    <w:rsid w:val="000715E2"/>
    <w:rsid w:val="000721C1"/>
    <w:rsid w:val="00072CD8"/>
    <w:rsid w:val="000766E0"/>
    <w:rsid w:val="00076E8A"/>
    <w:rsid w:val="0008079B"/>
    <w:rsid w:val="000809CC"/>
    <w:rsid w:val="000814C6"/>
    <w:rsid w:val="00081F57"/>
    <w:rsid w:val="0008213A"/>
    <w:rsid w:val="00083AAB"/>
    <w:rsid w:val="0008545E"/>
    <w:rsid w:val="00086DA8"/>
    <w:rsid w:val="00092B66"/>
    <w:rsid w:val="0009387B"/>
    <w:rsid w:val="00093BC8"/>
    <w:rsid w:val="00095A18"/>
    <w:rsid w:val="000A091C"/>
    <w:rsid w:val="000A18CE"/>
    <w:rsid w:val="000A48E8"/>
    <w:rsid w:val="000A60A4"/>
    <w:rsid w:val="000A745A"/>
    <w:rsid w:val="000B05CB"/>
    <w:rsid w:val="000B1D93"/>
    <w:rsid w:val="000B6352"/>
    <w:rsid w:val="000B7274"/>
    <w:rsid w:val="000C182F"/>
    <w:rsid w:val="000C1EF8"/>
    <w:rsid w:val="000C27C7"/>
    <w:rsid w:val="000C35A5"/>
    <w:rsid w:val="000C4BAE"/>
    <w:rsid w:val="000C64DB"/>
    <w:rsid w:val="000C658D"/>
    <w:rsid w:val="000C6BE4"/>
    <w:rsid w:val="000C6DBE"/>
    <w:rsid w:val="000C6E1F"/>
    <w:rsid w:val="000C6F01"/>
    <w:rsid w:val="000D037C"/>
    <w:rsid w:val="000D184D"/>
    <w:rsid w:val="000D20EF"/>
    <w:rsid w:val="000D395B"/>
    <w:rsid w:val="000D473B"/>
    <w:rsid w:val="000D7AF7"/>
    <w:rsid w:val="000E3122"/>
    <w:rsid w:val="000E3C08"/>
    <w:rsid w:val="000E4287"/>
    <w:rsid w:val="000E4BAE"/>
    <w:rsid w:val="000F0554"/>
    <w:rsid w:val="000F091C"/>
    <w:rsid w:val="000F145D"/>
    <w:rsid w:val="000F1869"/>
    <w:rsid w:val="000F283C"/>
    <w:rsid w:val="000F3159"/>
    <w:rsid w:val="000F370F"/>
    <w:rsid w:val="000F5BFA"/>
    <w:rsid w:val="000F7EAE"/>
    <w:rsid w:val="001021F0"/>
    <w:rsid w:val="00104043"/>
    <w:rsid w:val="001054DA"/>
    <w:rsid w:val="0011291D"/>
    <w:rsid w:val="00112B1A"/>
    <w:rsid w:val="00112FF4"/>
    <w:rsid w:val="001142F7"/>
    <w:rsid w:val="00114729"/>
    <w:rsid w:val="00114E13"/>
    <w:rsid w:val="001169AA"/>
    <w:rsid w:val="00117253"/>
    <w:rsid w:val="00117475"/>
    <w:rsid w:val="001245B3"/>
    <w:rsid w:val="00124F7D"/>
    <w:rsid w:val="001252AD"/>
    <w:rsid w:val="00127672"/>
    <w:rsid w:val="00130515"/>
    <w:rsid w:val="00131626"/>
    <w:rsid w:val="001340F8"/>
    <w:rsid w:val="001368CA"/>
    <w:rsid w:val="001419F6"/>
    <w:rsid w:val="001437C9"/>
    <w:rsid w:val="00143E51"/>
    <w:rsid w:val="00143FAE"/>
    <w:rsid w:val="00145A0C"/>
    <w:rsid w:val="00147615"/>
    <w:rsid w:val="00147ABC"/>
    <w:rsid w:val="00151038"/>
    <w:rsid w:val="00160955"/>
    <w:rsid w:val="00160961"/>
    <w:rsid w:val="00160B94"/>
    <w:rsid w:val="00160E48"/>
    <w:rsid w:val="001611FD"/>
    <w:rsid w:val="001619D3"/>
    <w:rsid w:val="00161DD7"/>
    <w:rsid w:val="00163BC0"/>
    <w:rsid w:val="00165226"/>
    <w:rsid w:val="00166CCD"/>
    <w:rsid w:val="001673F2"/>
    <w:rsid w:val="00167913"/>
    <w:rsid w:val="00170617"/>
    <w:rsid w:val="001723C4"/>
    <w:rsid w:val="00172A27"/>
    <w:rsid w:val="0017316D"/>
    <w:rsid w:val="001734B9"/>
    <w:rsid w:val="00173A45"/>
    <w:rsid w:val="0017623D"/>
    <w:rsid w:val="00177B2D"/>
    <w:rsid w:val="00177D19"/>
    <w:rsid w:val="00177E7F"/>
    <w:rsid w:val="00180CE3"/>
    <w:rsid w:val="00183571"/>
    <w:rsid w:val="0018480D"/>
    <w:rsid w:val="00185D2D"/>
    <w:rsid w:val="001860D5"/>
    <w:rsid w:val="001864AA"/>
    <w:rsid w:val="00190C1A"/>
    <w:rsid w:val="00190E09"/>
    <w:rsid w:val="00191555"/>
    <w:rsid w:val="0019463D"/>
    <w:rsid w:val="0019764B"/>
    <w:rsid w:val="00197B08"/>
    <w:rsid w:val="001A4ECF"/>
    <w:rsid w:val="001A51A6"/>
    <w:rsid w:val="001A78F1"/>
    <w:rsid w:val="001B0810"/>
    <w:rsid w:val="001B2FF2"/>
    <w:rsid w:val="001B4E80"/>
    <w:rsid w:val="001B7D99"/>
    <w:rsid w:val="001C058B"/>
    <w:rsid w:val="001C11FB"/>
    <w:rsid w:val="001C15CC"/>
    <w:rsid w:val="001C1D6A"/>
    <w:rsid w:val="001C3076"/>
    <w:rsid w:val="001C646C"/>
    <w:rsid w:val="001C6E6E"/>
    <w:rsid w:val="001C71F7"/>
    <w:rsid w:val="001C774F"/>
    <w:rsid w:val="001C7804"/>
    <w:rsid w:val="001D1DA3"/>
    <w:rsid w:val="001D1E95"/>
    <w:rsid w:val="001D4C14"/>
    <w:rsid w:val="001D5B07"/>
    <w:rsid w:val="001E0EBB"/>
    <w:rsid w:val="001E2F3F"/>
    <w:rsid w:val="001E4ABB"/>
    <w:rsid w:val="001F0732"/>
    <w:rsid w:val="001F1269"/>
    <w:rsid w:val="001F147E"/>
    <w:rsid w:val="001F1F7A"/>
    <w:rsid w:val="001F3DB3"/>
    <w:rsid w:val="001F3EF7"/>
    <w:rsid w:val="001F41EA"/>
    <w:rsid w:val="001F4FBD"/>
    <w:rsid w:val="001F5A05"/>
    <w:rsid w:val="001F617A"/>
    <w:rsid w:val="001F6BB9"/>
    <w:rsid w:val="001F7304"/>
    <w:rsid w:val="0020086F"/>
    <w:rsid w:val="00200A24"/>
    <w:rsid w:val="00201500"/>
    <w:rsid w:val="0020266A"/>
    <w:rsid w:val="00203B41"/>
    <w:rsid w:val="00204354"/>
    <w:rsid w:val="00207113"/>
    <w:rsid w:val="00211D9C"/>
    <w:rsid w:val="00212E28"/>
    <w:rsid w:val="002143FF"/>
    <w:rsid w:val="002164D1"/>
    <w:rsid w:val="00216FB3"/>
    <w:rsid w:val="00217B49"/>
    <w:rsid w:val="00217D5C"/>
    <w:rsid w:val="00221911"/>
    <w:rsid w:val="0022295E"/>
    <w:rsid w:val="00225A43"/>
    <w:rsid w:val="00225A66"/>
    <w:rsid w:val="002269AA"/>
    <w:rsid w:val="00226A30"/>
    <w:rsid w:val="002279E4"/>
    <w:rsid w:val="00227D60"/>
    <w:rsid w:val="0023083C"/>
    <w:rsid w:val="00230C4E"/>
    <w:rsid w:val="0023126E"/>
    <w:rsid w:val="00233631"/>
    <w:rsid w:val="0023403D"/>
    <w:rsid w:val="0023695D"/>
    <w:rsid w:val="00237B2F"/>
    <w:rsid w:val="00237BEF"/>
    <w:rsid w:val="00240338"/>
    <w:rsid w:val="00240742"/>
    <w:rsid w:val="00242F47"/>
    <w:rsid w:val="00243C95"/>
    <w:rsid w:val="0025282C"/>
    <w:rsid w:val="00253A89"/>
    <w:rsid w:val="00255D5C"/>
    <w:rsid w:val="00260D45"/>
    <w:rsid w:val="00260D5F"/>
    <w:rsid w:val="002623BD"/>
    <w:rsid w:val="0026366D"/>
    <w:rsid w:val="00264DAD"/>
    <w:rsid w:val="0026548C"/>
    <w:rsid w:val="00271D81"/>
    <w:rsid w:val="00272D09"/>
    <w:rsid w:val="002742FB"/>
    <w:rsid w:val="002804A7"/>
    <w:rsid w:val="002818B2"/>
    <w:rsid w:val="002823CB"/>
    <w:rsid w:val="00282600"/>
    <w:rsid w:val="0028517D"/>
    <w:rsid w:val="00285BDF"/>
    <w:rsid w:val="00286A86"/>
    <w:rsid w:val="00286B6C"/>
    <w:rsid w:val="0029044D"/>
    <w:rsid w:val="00292753"/>
    <w:rsid w:val="00295CA0"/>
    <w:rsid w:val="00297132"/>
    <w:rsid w:val="00297369"/>
    <w:rsid w:val="002A0503"/>
    <w:rsid w:val="002A0897"/>
    <w:rsid w:val="002A518B"/>
    <w:rsid w:val="002A6E43"/>
    <w:rsid w:val="002B4732"/>
    <w:rsid w:val="002B6BEF"/>
    <w:rsid w:val="002B6D3A"/>
    <w:rsid w:val="002C4B91"/>
    <w:rsid w:val="002C5245"/>
    <w:rsid w:val="002C5538"/>
    <w:rsid w:val="002C72F3"/>
    <w:rsid w:val="002C77AE"/>
    <w:rsid w:val="002C7D40"/>
    <w:rsid w:val="002D0CB2"/>
    <w:rsid w:val="002D0CEF"/>
    <w:rsid w:val="002D1695"/>
    <w:rsid w:val="002D4BD9"/>
    <w:rsid w:val="002D5BCA"/>
    <w:rsid w:val="002D6996"/>
    <w:rsid w:val="002E0531"/>
    <w:rsid w:val="002E1757"/>
    <w:rsid w:val="002E2246"/>
    <w:rsid w:val="002E2584"/>
    <w:rsid w:val="002E3DF6"/>
    <w:rsid w:val="002E4590"/>
    <w:rsid w:val="002E5283"/>
    <w:rsid w:val="002E54DE"/>
    <w:rsid w:val="002F1004"/>
    <w:rsid w:val="002F1B0E"/>
    <w:rsid w:val="002F3892"/>
    <w:rsid w:val="002F492F"/>
    <w:rsid w:val="002F7184"/>
    <w:rsid w:val="002F79AC"/>
    <w:rsid w:val="002F7CC7"/>
    <w:rsid w:val="0030089E"/>
    <w:rsid w:val="00300B8F"/>
    <w:rsid w:val="0031011F"/>
    <w:rsid w:val="00311153"/>
    <w:rsid w:val="00311739"/>
    <w:rsid w:val="00311A3A"/>
    <w:rsid w:val="00313A55"/>
    <w:rsid w:val="0031458B"/>
    <w:rsid w:val="00314F93"/>
    <w:rsid w:val="00316A79"/>
    <w:rsid w:val="003171D2"/>
    <w:rsid w:val="00317957"/>
    <w:rsid w:val="00317FC1"/>
    <w:rsid w:val="003232AE"/>
    <w:rsid w:val="00323C0C"/>
    <w:rsid w:val="00324DE9"/>
    <w:rsid w:val="00326AF3"/>
    <w:rsid w:val="00327CFA"/>
    <w:rsid w:val="00327E7C"/>
    <w:rsid w:val="003314CA"/>
    <w:rsid w:val="003328EB"/>
    <w:rsid w:val="003346D3"/>
    <w:rsid w:val="00336EA0"/>
    <w:rsid w:val="00337770"/>
    <w:rsid w:val="00340A1C"/>
    <w:rsid w:val="00340F01"/>
    <w:rsid w:val="00340F58"/>
    <w:rsid w:val="0034239F"/>
    <w:rsid w:val="00342AFA"/>
    <w:rsid w:val="00344740"/>
    <w:rsid w:val="00344B05"/>
    <w:rsid w:val="00350863"/>
    <w:rsid w:val="00356ABE"/>
    <w:rsid w:val="00357E66"/>
    <w:rsid w:val="00360B66"/>
    <w:rsid w:val="003636BD"/>
    <w:rsid w:val="003638AA"/>
    <w:rsid w:val="00364B6C"/>
    <w:rsid w:val="00364D24"/>
    <w:rsid w:val="00364EB3"/>
    <w:rsid w:val="00366DBE"/>
    <w:rsid w:val="0036730B"/>
    <w:rsid w:val="00370FC1"/>
    <w:rsid w:val="0037194F"/>
    <w:rsid w:val="00372EB9"/>
    <w:rsid w:val="00374EB4"/>
    <w:rsid w:val="00375A50"/>
    <w:rsid w:val="003779A2"/>
    <w:rsid w:val="00377CF9"/>
    <w:rsid w:val="003824BB"/>
    <w:rsid w:val="003849CB"/>
    <w:rsid w:val="00386117"/>
    <w:rsid w:val="003869D7"/>
    <w:rsid w:val="00386DAD"/>
    <w:rsid w:val="003907B4"/>
    <w:rsid w:val="00390C75"/>
    <w:rsid w:val="003949EA"/>
    <w:rsid w:val="00395A44"/>
    <w:rsid w:val="003A0C80"/>
    <w:rsid w:val="003A25F1"/>
    <w:rsid w:val="003A462A"/>
    <w:rsid w:val="003A53A0"/>
    <w:rsid w:val="003A547D"/>
    <w:rsid w:val="003A6468"/>
    <w:rsid w:val="003A6588"/>
    <w:rsid w:val="003A7C46"/>
    <w:rsid w:val="003B034E"/>
    <w:rsid w:val="003B2806"/>
    <w:rsid w:val="003B5FA1"/>
    <w:rsid w:val="003B75E1"/>
    <w:rsid w:val="003B77B6"/>
    <w:rsid w:val="003C0504"/>
    <w:rsid w:val="003C1688"/>
    <w:rsid w:val="003C1922"/>
    <w:rsid w:val="003C66FC"/>
    <w:rsid w:val="003C7009"/>
    <w:rsid w:val="003C7BD8"/>
    <w:rsid w:val="003D2BC2"/>
    <w:rsid w:val="003D2EA2"/>
    <w:rsid w:val="003D3FB1"/>
    <w:rsid w:val="003D43AF"/>
    <w:rsid w:val="003D65B3"/>
    <w:rsid w:val="003D7980"/>
    <w:rsid w:val="003E1326"/>
    <w:rsid w:val="003E3606"/>
    <w:rsid w:val="003E3B17"/>
    <w:rsid w:val="003E4281"/>
    <w:rsid w:val="003E5063"/>
    <w:rsid w:val="003E6001"/>
    <w:rsid w:val="003F07D6"/>
    <w:rsid w:val="003F1BC9"/>
    <w:rsid w:val="003F2B0C"/>
    <w:rsid w:val="003F409E"/>
    <w:rsid w:val="003F5A5C"/>
    <w:rsid w:val="003F7B51"/>
    <w:rsid w:val="003F7CCB"/>
    <w:rsid w:val="003F7E6C"/>
    <w:rsid w:val="00400187"/>
    <w:rsid w:val="00401ECC"/>
    <w:rsid w:val="0040358C"/>
    <w:rsid w:val="004064E5"/>
    <w:rsid w:val="004101A5"/>
    <w:rsid w:val="004101C5"/>
    <w:rsid w:val="0041064C"/>
    <w:rsid w:val="0041083A"/>
    <w:rsid w:val="004109F8"/>
    <w:rsid w:val="00410D8F"/>
    <w:rsid w:val="004129AB"/>
    <w:rsid w:val="0041584C"/>
    <w:rsid w:val="00415AFB"/>
    <w:rsid w:val="00417AA7"/>
    <w:rsid w:val="00420257"/>
    <w:rsid w:val="00420AC9"/>
    <w:rsid w:val="00422E1A"/>
    <w:rsid w:val="004239D1"/>
    <w:rsid w:val="00424522"/>
    <w:rsid w:val="00424AC4"/>
    <w:rsid w:val="0043041E"/>
    <w:rsid w:val="004334B2"/>
    <w:rsid w:val="00433F82"/>
    <w:rsid w:val="0043409B"/>
    <w:rsid w:val="00435079"/>
    <w:rsid w:val="004427AF"/>
    <w:rsid w:val="0044367A"/>
    <w:rsid w:val="004438A1"/>
    <w:rsid w:val="004459A7"/>
    <w:rsid w:val="00446B82"/>
    <w:rsid w:val="00450AA4"/>
    <w:rsid w:val="00450E94"/>
    <w:rsid w:val="00452100"/>
    <w:rsid w:val="00452BE8"/>
    <w:rsid w:val="0045306A"/>
    <w:rsid w:val="004539BD"/>
    <w:rsid w:val="00453EF9"/>
    <w:rsid w:val="0045772A"/>
    <w:rsid w:val="00457E14"/>
    <w:rsid w:val="00462F56"/>
    <w:rsid w:val="004637D6"/>
    <w:rsid w:val="00467540"/>
    <w:rsid w:val="0046761E"/>
    <w:rsid w:val="00467F27"/>
    <w:rsid w:val="00472CAA"/>
    <w:rsid w:val="0047322F"/>
    <w:rsid w:val="0047348E"/>
    <w:rsid w:val="00473F4F"/>
    <w:rsid w:val="004744AA"/>
    <w:rsid w:val="00474590"/>
    <w:rsid w:val="004773F4"/>
    <w:rsid w:val="00477790"/>
    <w:rsid w:val="00477E71"/>
    <w:rsid w:val="00480858"/>
    <w:rsid w:val="00483A11"/>
    <w:rsid w:val="00484A96"/>
    <w:rsid w:val="00484C67"/>
    <w:rsid w:val="00487A73"/>
    <w:rsid w:val="00491DEB"/>
    <w:rsid w:val="004923FB"/>
    <w:rsid w:val="00493A73"/>
    <w:rsid w:val="00495050"/>
    <w:rsid w:val="004A06F8"/>
    <w:rsid w:val="004A100C"/>
    <w:rsid w:val="004A12CC"/>
    <w:rsid w:val="004A1D11"/>
    <w:rsid w:val="004A626C"/>
    <w:rsid w:val="004A68F3"/>
    <w:rsid w:val="004B09E6"/>
    <w:rsid w:val="004B0B1C"/>
    <w:rsid w:val="004B0D06"/>
    <w:rsid w:val="004B2D9B"/>
    <w:rsid w:val="004B4254"/>
    <w:rsid w:val="004B48C3"/>
    <w:rsid w:val="004B6244"/>
    <w:rsid w:val="004B64D3"/>
    <w:rsid w:val="004C1CBD"/>
    <w:rsid w:val="004C245A"/>
    <w:rsid w:val="004C3B1F"/>
    <w:rsid w:val="004C3DC5"/>
    <w:rsid w:val="004C63C8"/>
    <w:rsid w:val="004C6564"/>
    <w:rsid w:val="004C6DC4"/>
    <w:rsid w:val="004C78BC"/>
    <w:rsid w:val="004D5773"/>
    <w:rsid w:val="004D7CCF"/>
    <w:rsid w:val="004E072C"/>
    <w:rsid w:val="004E1062"/>
    <w:rsid w:val="004E1B16"/>
    <w:rsid w:val="004E2DB1"/>
    <w:rsid w:val="004E32FF"/>
    <w:rsid w:val="004E39BF"/>
    <w:rsid w:val="004E48AD"/>
    <w:rsid w:val="004E78B4"/>
    <w:rsid w:val="004F3938"/>
    <w:rsid w:val="004F502D"/>
    <w:rsid w:val="004F5DC6"/>
    <w:rsid w:val="005003FC"/>
    <w:rsid w:val="00501905"/>
    <w:rsid w:val="00502B88"/>
    <w:rsid w:val="0050678B"/>
    <w:rsid w:val="00507973"/>
    <w:rsid w:val="0051072B"/>
    <w:rsid w:val="0051103F"/>
    <w:rsid w:val="00512373"/>
    <w:rsid w:val="005141BA"/>
    <w:rsid w:val="0051597D"/>
    <w:rsid w:val="00516955"/>
    <w:rsid w:val="00520C7B"/>
    <w:rsid w:val="0052267A"/>
    <w:rsid w:val="00522E5B"/>
    <w:rsid w:val="00523153"/>
    <w:rsid w:val="0052318A"/>
    <w:rsid w:val="00524EB7"/>
    <w:rsid w:val="005251D5"/>
    <w:rsid w:val="00526431"/>
    <w:rsid w:val="00526690"/>
    <w:rsid w:val="00526821"/>
    <w:rsid w:val="00526A41"/>
    <w:rsid w:val="0053028F"/>
    <w:rsid w:val="005302AA"/>
    <w:rsid w:val="00530BA9"/>
    <w:rsid w:val="005321A3"/>
    <w:rsid w:val="00532DB9"/>
    <w:rsid w:val="0053378B"/>
    <w:rsid w:val="00534F46"/>
    <w:rsid w:val="00536A0C"/>
    <w:rsid w:val="005415C3"/>
    <w:rsid w:val="005422E0"/>
    <w:rsid w:val="005446FD"/>
    <w:rsid w:val="00546097"/>
    <w:rsid w:val="00552FFC"/>
    <w:rsid w:val="0055601C"/>
    <w:rsid w:val="00557B89"/>
    <w:rsid w:val="00560F60"/>
    <w:rsid w:val="005616E5"/>
    <w:rsid w:val="0056174A"/>
    <w:rsid w:val="00561D4A"/>
    <w:rsid w:val="00562CE4"/>
    <w:rsid w:val="00563587"/>
    <w:rsid w:val="005636E3"/>
    <w:rsid w:val="00564189"/>
    <w:rsid w:val="005644BE"/>
    <w:rsid w:val="00567996"/>
    <w:rsid w:val="005714A8"/>
    <w:rsid w:val="00573A39"/>
    <w:rsid w:val="00575B68"/>
    <w:rsid w:val="005774A0"/>
    <w:rsid w:val="00577D84"/>
    <w:rsid w:val="005803D0"/>
    <w:rsid w:val="005835CB"/>
    <w:rsid w:val="005836F0"/>
    <w:rsid w:val="0059197A"/>
    <w:rsid w:val="005920B0"/>
    <w:rsid w:val="00593270"/>
    <w:rsid w:val="0059403E"/>
    <w:rsid w:val="00594BDF"/>
    <w:rsid w:val="00595883"/>
    <w:rsid w:val="00596EBD"/>
    <w:rsid w:val="005979B6"/>
    <w:rsid w:val="00597AB4"/>
    <w:rsid w:val="005A067F"/>
    <w:rsid w:val="005A0AFE"/>
    <w:rsid w:val="005A2FE9"/>
    <w:rsid w:val="005A587E"/>
    <w:rsid w:val="005A5B4C"/>
    <w:rsid w:val="005A64DF"/>
    <w:rsid w:val="005A7D19"/>
    <w:rsid w:val="005B24AE"/>
    <w:rsid w:val="005B3D47"/>
    <w:rsid w:val="005B4C10"/>
    <w:rsid w:val="005B4FF1"/>
    <w:rsid w:val="005B6FE8"/>
    <w:rsid w:val="005C0E02"/>
    <w:rsid w:val="005C1B91"/>
    <w:rsid w:val="005C2440"/>
    <w:rsid w:val="005C25AB"/>
    <w:rsid w:val="005C2734"/>
    <w:rsid w:val="005C4C3B"/>
    <w:rsid w:val="005C5040"/>
    <w:rsid w:val="005C5A90"/>
    <w:rsid w:val="005C76D1"/>
    <w:rsid w:val="005D28F3"/>
    <w:rsid w:val="005D3157"/>
    <w:rsid w:val="005D6CBA"/>
    <w:rsid w:val="005E0C19"/>
    <w:rsid w:val="005E0DC6"/>
    <w:rsid w:val="005E1D99"/>
    <w:rsid w:val="005E1E09"/>
    <w:rsid w:val="005E300C"/>
    <w:rsid w:val="005E4C79"/>
    <w:rsid w:val="005E7E02"/>
    <w:rsid w:val="005F058F"/>
    <w:rsid w:val="005F1578"/>
    <w:rsid w:val="005F18BE"/>
    <w:rsid w:val="005F1A6E"/>
    <w:rsid w:val="005F2351"/>
    <w:rsid w:val="005F44F1"/>
    <w:rsid w:val="005F4D4F"/>
    <w:rsid w:val="005F5EF2"/>
    <w:rsid w:val="005F6722"/>
    <w:rsid w:val="006013DD"/>
    <w:rsid w:val="006033A8"/>
    <w:rsid w:val="006038F4"/>
    <w:rsid w:val="006059B6"/>
    <w:rsid w:val="006102CF"/>
    <w:rsid w:val="00612285"/>
    <w:rsid w:val="00612E2B"/>
    <w:rsid w:val="00623ECD"/>
    <w:rsid w:val="006255D6"/>
    <w:rsid w:val="0062648D"/>
    <w:rsid w:val="00627121"/>
    <w:rsid w:val="00630A6F"/>
    <w:rsid w:val="006328CB"/>
    <w:rsid w:val="0063336D"/>
    <w:rsid w:val="006353C6"/>
    <w:rsid w:val="00640646"/>
    <w:rsid w:val="00640B9A"/>
    <w:rsid w:val="00640D84"/>
    <w:rsid w:val="00640F9D"/>
    <w:rsid w:val="0064125A"/>
    <w:rsid w:val="00641464"/>
    <w:rsid w:val="00642301"/>
    <w:rsid w:val="00643752"/>
    <w:rsid w:val="00645852"/>
    <w:rsid w:val="00646431"/>
    <w:rsid w:val="00650E89"/>
    <w:rsid w:val="00652C05"/>
    <w:rsid w:val="00653E39"/>
    <w:rsid w:val="00654BAB"/>
    <w:rsid w:val="00660DE6"/>
    <w:rsid w:val="00661D85"/>
    <w:rsid w:val="00663361"/>
    <w:rsid w:val="00663CCE"/>
    <w:rsid w:val="00667A8F"/>
    <w:rsid w:val="00667BC9"/>
    <w:rsid w:val="0067004F"/>
    <w:rsid w:val="00670AF3"/>
    <w:rsid w:val="00670FFA"/>
    <w:rsid w:val="006712C6"/>
    <w:rsid w:val="00671C4B"/>
    <w:rsid w:val="00672E38"/>
    <w:rsid w:val="00673A8B"/>
    <w:rsid w:val="00674810"/>
    <w:rsid w:val="00674A55"/>
    <w:rsid w:val="00675A77"/>
    <w:rsid w:val="00676B72"/>
    <w:rsid w:val="00681D80"/>
    <w:rsid w:val="0068244E"/>
    <w:rsid w:val="00683532"/>
    <w:rsid w:val="00684CA1"/>
    <w:rsid w:val="006855BD"/>
    <w:rsid w:val="00685E99"/>
    <w:rsid w:val="0068613C"/>
    <w:rsid w:val="00687E0E"/>
    <w:rsid w:val="00690A68"/>
    <w:rsid w:val="0069142A"/>
    <w:rsid w:val="0069342F"/>
    <w:rsid w:val="00693736"/>
    <w:rsid w:val="006962AE"/>
    <w:rsid w:val="006962D0"/>
    <w:rsid w:val="00697F46"/>
    <w:rsid w:val="006A052A"/>
    <w:rsid w:val="006A0E61"/>
    <w:rsid w:val="006A5954"/>
    <w:rsid w:val="006A5CA5"/>
    <w:rsid w:val="006A60D7"/>
    <w:rsid w:val="006A6709"/>
    <w:rsid w:val="006A690C"/>
    <w:rsid w:val="006B2D85"/>
    <w:rsid w:val="006B4268"/>
    <w:rsid w:val="006B588A"/>
    <w:rsid w:val="006B6D9E"/>
    <w:rsid w:val="006C1144"/>
    <w:rsid w:val="006C11AA"/>
    <w:rsid w:val="006C15AF"/>
    <w:rsid w:val="006C165B"/>
    <w:rsid w:val="006C3D31"/>
    <w:rsid w:val="006C3F07"/>
    <w:rsid w:val="006C5782"/>
    <w:rsid w:val="006C6810"/>
    <w:rsid w:val="006D0787"/>
    <w:rsid w:val="006D07FE"/>
    <w:rsid w:val="006D0B95"/>
    <w:rsid w:val="006D34FB"/>
    <w:rsid w:val="006D3C44"/>
    <w:rsid w:val="006D4ED5"/>
    <w:rsid w:val="006D7DD4"/>
    <w:rsid w:val="006E19B5"/>
    <w:rsid w:val="006E223F"/>
    <w:rsid w:val="006E42E4"/>
    <w:rsid w:val="006E7095"/>
    <w:rsid w:val="006E7B3D"/>
    <w:rsid w:val="006F0A02"/>
    <w:rsid w:val="006F172A"/>
    <w:rsid w:val="006F187B"/>
    <w:rsid w:val="006F221F"/>
    <w:rsid w:val="006F22EB"/>
    <w:rsid w:val="006F3CDD"/>
    <w:rsid w:val="006F5715"/>
    <w:rsid w:val="006F5C08"/>
    <w:rsid w:val="006F6FDF"/>
    <w:rsid w:val="006F7140"/>
    <w:rsid w:val="00702794"/>
    <w:rsid w:val="00704531"/>
    <w:rsid w:val="00704F6A"/>
    <w:rsid w:val="00704F7D"/>
    <w:rsid w:val="00706B7C"/>
    <w:rsid w:val="00706CD3"/>
    <w:rsid w:val="0071025C"/>
    <w:rsid w:val="00710562"/>
    <w:rsid w:val="00711343"/>
    <w:rsid w:val="007162C4"/>
    <w:rsid w:val="00717015"/>
    <w:rsid w:val="00717491"/>
    <w:rsid w:val="007179BA"/>
    <w:rsid w:val="00720134"/>
    <w:rsid w:val="007202F1"/>
    <w:rsid w:val="007206AF"/>
    <w:rsid w:val="00721400"/>
    <w:rsid w:val="007233A8"/>
    <w:rsid w:val="007252CD"/>
    <w:rsid w:val="007257A5"/>
    <w:rsid w:val="00725F2D"/>
    <w:rsid w:val="007306DF"/>
    <w:rsid w:val="0073111B"/>
    <w:rsid w:val="00732E01"/>
    <w:rsid w:val="007339E3"/>
    <w:rsid w:val="007360FC"/>
    <w:rsid w:val="007413D6"/>
    <w:rsid w:val="00742D18"/>
    <w:rsid w:val="0074372D"/>
    <w:rsid w:val="007445D4"/>
    <w:rsid w:val="0074504D"/>
    <w:rsid w:val="007465BD"/>
    <w:rsid w:val="00747386"/>
    <w:rsid w:val="00747FC2"/>
    <w:rsid w:val="007502E5"/>
    <w:rsid w:val="007516A7"/>
    <w:rsid w:val="00751B13"/>
    <w:rsid w:val="00751E55"/>
    <w:rsid w:val="00751FA0"/>
    <w:rsid w:val="007533DA"/>
    <w:rsid w:val="00757581"/>
    <w:rsid w:val="00762A09"/>
    <w:rsid w:val="007717C8"/>
    <w:rsid w:val="00771960"/>
    <w:rsid w:val="00772977"/>
    <w:rsid w:val="0077487D"/>
    <w:rsid w:val="00775E72"/>
    <w:rsid w:val="0077602A"/>
    <w:rsid w:val="00776353"/>
    <w:rsid w:val="007775C0"/>
    <w:rsid w:val="007810B7"/>
    <w:rsid w:val="00783EED"/>
    <w:rsid w:val="007913CC"/>
    <w:rsid w:val="00792471"/>
    <w:rsid w:val="007924EE"/>
    <w:rsid w:val="00793041"/>
    <w:rsid w:val="007955C0"/>
    <w:rsid w:val="00795D98"/>
    <w:rsid w:val="007A0C6B"/>
    <w:rsid w:val="007A0DE0"/>
    <w:rsid w:val="007A18B2"/>
    <w:rsid w:val="007A1CD7"/>
    <w:rsid w:val="007A2C9F"/>
    <w:rsid w:val="007A443B"/>
    <w:rsid w:val="007A4F73"/>
    <w:rsid w:val="007A54CE"/>
    <w:rsid w:val="007A72AF"/>
    <w:rsid w:val="007B521D"/>
    <w:rsid w:val="007B65A9"/>
    <w:rsid w:val="007B72B6"/>
    <w:rsid w:val="007B76FE"/>
    <w:rsid w:val="007C0941"/>
    <w:rsid w:val="007C2135"/>
    <w:rsid w:val="007C2859"/>
    <w:rsid w:val="007C7477"/>
    <w:rsid w:val="007C784F"/>
    <w:rsid w:val="007D0322"/>
    <w:rsid w:val="007D1313"/>
    <w:rsid w:val="007D136C"/>
    <w:rsid w:val="007D22B9"/>
    <w:rsid w:val="007D49B7"/>
    <w:rsid w:val="007D4EFB"/>
    <w:rsid w:val="007E0712"/>
    <w:rsid w:val="007E0C02"/>
    <w:rsid w:val="007E0FDC"/>
    <w:rsid w:val="007E22C9"/>
    <w:rsid w:val="007E309D"/>
    <w:rsid w:val="007E31DB"/>
    <w:rsid w:val="007E5724"/>
    <w:rsid w:val="007E6874"/>
    <w:rsid w:val="007F0B3E"/>
    <w:rsid w:val="007F1DB1"/>
    <w:rsid w:val="007F255C"/>
    <w:rsid w:val="007F5EC1"/>
    <w:rsid w:val="007F6F03"/>
    <w:rsid w:val="007F730B"/>
    <w:rsid w:val="0080116A"/>
    <w:rsid w:val="00803425"/>
    <w:rsid w:val="0081032E"/>
    <w:rsid w:val="008107F4"/>
    <w:rsid w:val="0081132E"/>
    <w:rsid w:val="00811A98"/>
    <w:rsid w:val="00814C98"/>
    <w:rsid w:val="008207BF"/>
    <w:rsid w:val="00822309"/>
    <w:rsid w:val="0082232B"/>
    <w:rsid w:val="00824A03"/>
    <w:rsid w:val="00825139"/>
    <w:rsid w:val="008268E6"/>
    <w:rsid w:val="00827431"/>
    <w:rsid w:val="0083037A"/>
    <w:rsid w:val="00830B74"/>
    <w:rsid w:val="0083114A"/>
    <w:rsid w:val="00831696"/>
    <w:rsid w:val="00831A81"/>
    <w:rsid w:val="00832D34"/>
    <w:rsid w:val="0083307F"/>
    <w:rsid w:val="0083436E"/>
    <w:rsid w:val="0083706E"/>
    <w:rsid w:val="00841F1B"/>
    <w:rsid w:val="00843BB2"/>
    <w:rsid w:val="00843E12"/>
    <w:rsid w:val="0084472D"/>
    <w:rsid w:val="008462E1"/>
    <w:rsid w:val="00846BA3"/>
    <w:rsid w:val="008506FF"/>
    <w:rsid w:val="00851298"/>
    <w:rsid w:val="008518CF"/>
    <w:rsid w:val="00851BA6"/>
    <w:rsid w:val="0085202C"/>
    <w:rsid w:val="008523F3"/>
    <w:rsid w:val="00854755"/>
    <w:rsid w:val="00856733"/>
    <w:rsid w:val="008573FE"/>
    <w:rsid w:val="0085777D"/>
    <w:rsid w:val="00860AFE"/>
    <w:rsid w:val="00860C2E"/>
    <w:rsid w:val="00860F7D"/>
    <w:rsid w:val="00861D1F"/>
    <w:rsid w:val="00863390"/>
    <w:rsid w:val="00863D66"/>
    <w:rsid w:val="00866266"/>
    <w:rsid w:val="00866823"/>
    <w:rsid w:val="00866C8B"/>
    <w:rsid w:val="0086786D"/>
    <w:rsid w:val="00867BA2"/>
    <w:rsid w:val="00867E1E"/>
    <w:rsid w:val="008711EF"/>
    <w:rsid w:val="008713D0"/>
    <w:rsid w:val="008814DA"/>
    <w:rsid w:val="00881B08"/>
    <w:rsid w:val="0088290C"/>
    <w:rsid w:val="00882D8A"/>
    <w:rsid w:val="00884364"/>
    <w:rsid w:val="008847F8"/>
    <w:rsid w:val="00884A83"/>
    <w:rsid w:val="00885A4D"/>
    <w:rsid w:val="00887366"/>
    <w:rsid w:val="00887A5F"/>
    <w:rsid w:val="00887D33"/>
    <w:rsid w:val="00887FD5"/>
    <w:rsid w:val="00892B03"/>
    <w:rsid w:val="00892FEC"/>
    <w:rsid w:val="00893C6D"/>
    <w:rsid w:val="00894C3E"/>
    <w:rsid w:val="00895490"/>
    <w:rsid w:val="00895D28"/>
    <w:rsid w:val="008A0FFE"/>
    <w:rsid w:val="008A2782"/>
    <w:rsid w:val="008A3956"/>
    <w:rsid w:val="008A5363"/>
    <w:rsid w:val="008A59CC"/>
    <w:rsid w:val="008A66E0"/>
    <w:rsid w:val="008A7D08"/>
    <w:rsid w:val="008B24BC"/>
    <w:rsid w:val="008B688A"/>
    <w:rsid w:val="008B71C7"/>
    <w:rsid w:val="008C186F"/>
    <w:rsid w:val="008C255B"/>
    <w:rsid w:val="008C45DC"/>
    <w:rsid w:val="008C5FC0"/>
    <w:rsid w:val="008C6EA9"/>
    <w:rsid w:val="008D1079"/>
    <w:rsid w:val="008D1EC0"/>
    <w:rsid w:val="008D446E"/>
    <w:rsid w:val="008D6105"/>
    <w:rsid w:val="008D65E3"/>
    <w:rsid w:val="008D6BAE"/>
    <w:rsid w:val="008D727C"/>
    <w:rsid w:val="008E19FE"/>
    <w:rsid w:val="008E53D1"/>
    <w:rsid w:val="008E683E"/>
    <w:rsid w:val="008F3625"/>
    <w:rsid w:val="008F4A3F"/>
    <w:rsid w:val="008F6D0A"/>
    <w:rsid w:val="008F7EBB"/>
    <w:rsid w:val="00900080"/>
    <w:rsid w:val="009013DC"/>
    <w:rsid w:val="00901BE4"/>
    <w:rsid w:val="00903B72"/>
    <w:rsid w:val="00904251"/>
    <w:rsid w:val="009042C2"/>
    <w:rsid w:val="00906A36"/>
    <w:rsid w:val="00907542"/>
    <w:rsid w:val="009079A1"/>
    <w:rsid w:val="0091015D"/>
    <w:rsid w:val="009107F7"/>
    <w:rsid w:val="009117EF"/>
    <w:rsid w:val="00912101"/>
    <w:rsid w:val="00913299"/>
    <w:rsid w:val="00913702"/>
    <w:rsid w:val="009148AC"/>
    <w:rsid w:val="00914C9E"/>
    <w:rsid w:val="00921BD7"/>
    <w:rsid w:val="009235AF"/>
    <w:rsid w:val="009235BB"/>
    <w:rsid w:val="00923838"/>
    <w:rsid w:val="00925966"/>
    <w:rsid w:val="00925AB1"/>
    <w:rsid w:val="00925B54"/>
    <w:rsid w:val="0092613D"/>
    <w:rsid w:val="00931536"/>
    <w:rsid w:val="009320DA"/>
    <w:rsid w:val="0093423C"/>
    <w:rsid w:val="00934408"/>
    <w:rsid w:val="0093618C"/>
    <w:rsid w:val="009377D4"/>
    <w:rsid w:val="00940752"/>
    <w:rsid w:val="00941F13"/>
    <w:rsid w:val="009420BC"/>
    <w:rsid w:val="00944B5C"/>
    <w:rsid w:val="00944ED9"/>
    <w:rsid w:val="00945688"/>
    <w:rsid w:val="00945DE8"/>
    <w:rsid w:val="00947E5F"/>
    <w:rsid w:val="00952283"/>
    <w:rsid w:val="00952762"/>
    <w:rsid w:val="009534FA"/>
    <w:rsid w:val="00955972"/>
    <w:rsid w:val="00956249"/>
    <w:rsid w:val="00960B47"/>
    <w:rsid w:val="009619B0"/>
    <w:rsid w:val="0096402E"/>
    <w:rsid w:val="00964601"/>
    <w:rsid w:val="00966E70"/>
    <w:rsid w:val="00973AE3"/>
    <w:rsid w:val="00976A5D"/>
    <w:rsid w:val="0097714B"/>
    <w:rsid w:val="009773B7"/>
    <w:rsid w:val="00977AAD"/>
    <w:rsid w:val="00982C60"/>
    <w:rsid w:val="00983D63"/>
    <w:rsid w:val="00986E05"/>
    <w:rsid w:val="009876C6"/>
    <w:rsid w:val="00992303"/>
    <w:rsid w:val="00992C89"/>
    <w:rsid w:val="00993164"/>
    <w:rsid w:val="009974B4"/>
    <w:rsid w:val="00997515"/>
    <w:rsid w:val="009A4FDD"/>
    <w:rsid w:val="009A50A1"/>
    <w:rsid w:val="009A65B8"/>
    <w:rsid w:val="009A6C31"/>
    <w:rsid w:val="009B075D"/>
    <w:rsid w:val="009B0A59"/>
    <w:rsid w:val="009B232C"/>
    <w:rsid w:val="009B2592"/>
    <w:rsid w:val="009B5001"/>
    <w:rsid w:val="009B5B3D"/>
    <w:rsid w:val="009C02B7"/>
    <w:rsid w:val="009C142B"/>
    <w:rsid w:val="009C3F3C"/>
    <w:rsid w:val="009C57B9"/>
    <w:rsid w:val="009C6B3C"/>
    <w:rsid w:val="009C7023"/>
    <w:rsid w:val="009D1736"/>
    <w:rsid w:val="009D3C86"/>
    <w:rsid w:val="009D4FD1"/>
    <w:rsid w:val="009D5ED2"/>
    <w:rsid w:val="009E1E75"/>
    <w:rsid w:val="009E1FDE"/>
    <w:rsid w:val="009E434F"/>
    <w:rsid w:val="009E64EA"/>
    <w:rsid w:val="009E680B"/>
    <w:rsid w:val="009F02EE"/>
    <w:rsid w:val="009F39F9"/>
    <w:rsid w:val="009F404A"/>
    <w:rsid w:val="009F44F3"/>
    <w:rsid w:val="009F5D26"/>
    <w:rsid w:val="009F6277"/>
    <w:rsid w:val="009F6460"/>
    <w:rsid w:val="009F6D4F"/>
    <w:rsid w:val="009F777F"/>
    <w:rsid w:val="009F7BE2"/>
    <w:rsid w:val="00A0025E"/>
    <w:rsid w:val="00A00987"/>
    <w:rsid w:val="00A00B7D"/>
    <w:rsid w:val="00A02B4E"/>
    <w:rsid w:val="00A0367D"/>
    <w:rsid w:val="00A053D2"/>
    <w:rsid w:val="00A05B9B"/>
    <w:rsid w:val="00A06D96"/>
    <w:rsid w:val="00A077FB"/>
    <w:rsid w:val="00A118AF"/>
    <w:rsid w:val="00A134AE"/>
    <w:rsid w:val="00A13D4F"/>
    <w:rsid w:val="00A1433D"/>
    <w:rsid w:val="00A16029"/>
    <w:rsid w:val="00A167C3"/>
    <w:rsid w:val="00A20B33"/>
    <w:rsid w:val="00A217D3"/>
    <w:rsid w:val="00A231F5"/>
    <w:rsid w:val="00A24109"/>
    <w:rsid w:val="00A26C88"/>
    <w:rsid w:val="00A26E87"/>
    <w:rsid w:val="00A27559"/>
    <w:rsid w:val="00A27660"/>
    <w:rsid w:val="00A30D41"/>
    <w:rsid w:val="00A321DC"/>
    <w:rsid w:val="00A32896"/>
    <w:rsid w:val="00A33253"/>
    <w:rsid w:val="00A33C7F"/>
    <w:rsid w:val="00A36D7F"/>
    <w:rsid w:val="00A37790"/>
    <w:rsid w:val="00A40F62"/>
    <w:rsid w:val="00A41526"/>
    <w:rsid w:val="00A43D87"/>
    <w:rsid w:val="00A46666"/>
    <w:rsid w:val="00A46A7F"/>
    <w:rsid w:val="00A47958"/>
    <w:rsid w:val="00A504BF"/>
    <w:rsid w:val="00A520A4"/>
    <w:rsid w:val="00A530C5"/>
    <w:rsid w:val="00A53779"/>
    <w:rsid w:val="00A53983"/>
    <w:rsid w:val="00A54417"/>
    <w:rsid w:val="00A550E2"/>
    <w:rsid w:val="00A56481"/>
    <w:rsid w:val="00A56993"/>
    <w:rsid w:val="00A601AA"/>
    <w:rsid w:val="00A604FE"/>
    <w:rsid w:val="00A611E6"/>
    <w:rsid w:val="00A61F02"/>
    <w:rsid w:val="00A6242A"/>
    <w:rsid w:val="00A6778B"/>
    <w:rsid w:val="00A7040B"/>
    <w:rsid w:val="00A71D1F"/>
    <w:rsid w:val="00A74446"/>
    <w:rsid w:val="00A75EC2"/>
    <w:rsid w:val="00A85463"/>
    <w:rsid w:val="00A87E1B"/>
    <w:rsid w:val="00A90E42"/>
    <w:rsid w:val="00A918D6"/>
    <w:rsid w:val="00A92A96"/>
    <w:rsid w:val="00A92D94"/>
    <w:rsid w:val="00A972EA"/>
    <w:rsid w:val="00AA661E"/>
    <w:rsid w:val="00AA7B83"/>
    <w:rsid w:val="00AB4FE7"/>
    <w:rsid w:val="00AC0029"/>
    <w:rsid w:val="00AC2147"/>
    <w:rsid w:val="00AC3001"/>
    <w:rsid w:val="00AD01A4"/>
    <w:rsid w:val="00AD1B98"/>
    <w:rsid w:val="00AD5376"/>
    <w:rsid w:val="00AD61C6"/>
    <w:rsid w:val="00AD68F1"/>
    <w:rsid w:val="00AE22A1"/>
    <w:rsid w:val="00AE5573"/>
    <w:rsid w:val="00AE6C4D"/>
    <w:rsid w:val="00AE6E7B"/>
    <w:rsid w:val="00AE7F16"/>
    <w:rsid w:val="00AF26FD"/>
    <w:rsid w:val="00AF2E8A"/>
    <w:rsid w:val="00AF45A5"/>
    <w:rsid w:val="00AF464E"/>
    <w:rsid w:val="00AF4670"/>
    <w:rsid w:val="00AF5223"/>
    <w:rsid w:val="00AF6366"/>
    <w:rsid w:val="00AF78C6"/>
    <w:rsid w:val="00AF796F"/>
    <w:rsid w:val="00B00756"/>
    <w:rsid w:val="00B015AA"/>
    <w:rsid w:val="00B03EF3"/>
    <w:rsid w:val="00B04BC5"/>
    <w:rsid w:val="00B04CFB"/>
    <w:rsid w:val="00B077D9"/>
    <w:rsid w:val="00B07D9E"/>
    <w:rsid w:val="00B10AFA"/>
    <w:rsid w:val="00B12493"/>
    <w:rsid w:val="00B169F4"/>
    <w:rsid w:val="00B16B3C"/>
    <w:rsid w:val="00B179EC"/>
    <w:rsid w:val="00B20AC2"/>
    <w:rsid w:val="00B2187E"/>
    <w:rsid w:val="00B21E8D"/>
    <w:rsid w:val="00B234C3"/>
    <w:rsid w:val="00B23ABC"/>
    <w:rsid w:val="00B23ECF"/>
    <w:rsid w:val="00B2448C"/>
    <w:rsid w:val="00B25BAB"/>
    <w:rsid w:val="00B26022"/>
    <w:rsid w:val="00B265C0"/>
    <w:rsid w:val="00B314F6"/>
    <w:rsid w:val="00B32EF5"/>
    <w:rsid w:val="00B3536C"/>
    <w:rsid w:val="00B35F4F"/>
    <w:rsid w:val="00B370F0"/>
    <w:rsid w:val="00B402D0"/>
    <w:rsid w:val="00B43B8B"/>
    <w:rsid w:val="00B44C90"/>
    <w:rsid w:val="00B44D4F"/>
    <w:rsid w:val="00B4603A"/>
    <w:rsid w:val="00B479C3"/>
    <w:rsid w:val="00B516FC"/>
    <w:rsid w:val="00B632C0"/>
    <w:rsid w:val="00B63948"/>
    <w:rsid w:val="00B64A12"/>
    <w:rsid w:val="00B668CC"/>
    <w:rsid w:val="00B72BE3"/>
    <w:rsid w:val="00B74496"/>
    <w:rsid w:val="00B8655C"/>
    <w:rsid w:val="00B87EF6"/>
    <w:rsid w:val="00B91082"/>
    <w:rsid w:val="00B92341"/>
    <w:rsid w:val="00BA077F"/>
    <w:rsid w:val="00BA1687"/>
    <w:rsid w:val="00BA385E"/>
    <w:rsid w:val="00BA4014"/>
    <w:rsid w:val="00BA420A"/>
    <w:rsid w:val="00BB04E8"/>
    <w:rsid w:val="00BB0E00"/>
    <w:rsid w:val="00BB425C"/>
    <w:rsid w:val="00BB4C74"/>
    <w:rsid w:val="00BB6692"/>
    <w:rsid w:val="00BB66A6"/>
    <w:rsid w:val="00BB6FDB"/>
    <w:rsid w:val="00BB79E2"/>
    <w:rsid w:val="00BC18FB"/>
    <w:rsid w:val="00BC373B"/>
    <w:rsid w:val="00BC4142"/>
    <w:rsid w:val="00BC4C75"/>
    <w:rsid w:val="00BD2A00"/>
    <w:rsid w:val="00BD55E9"/>
    <w:rsid w:val="00BE18D8"/>
    <w:rsid w:val="00BE1B0C"/>
    <w:rsid w:val="00BE3632"/>
    <w:rsid w:val="00BE4482"/>
    <w:rsid w:val="00BE4D33"/>
    <w:rsid w:val="00BE5292"/>
    <w:rsid w:val="00BE5B1B"/>
    <w:rsid w:val="00BF1E68"/>
    <w:rsid w:val="00BF23E3"/>
    <w:rsid w:val="00BF39A6"/>
    <w:rsid w:val="00BF471D"/>
    <w:rsid w:val="00C00FA2"/>
    <w:rsid w:val="00C05E0C"/>
    <w:rsid w:val="00C07523"/>
    <w:rsid w:val="00C11A06"/>
    <w:rsid w:val="00C11D68"/>
    <w:rsid w:val="00C13158"/>
    <w:rsid w:val="00C13EC6"/>
    <w:rsid w:val="00C140ED"/>
    <w:rsid w:val="00C16ABE"/>
    <w:rsid w:val="00C259E6"/>
    <w:rsid w:val="00C3114D"/>
    <w:rsid w:val="00C33497"/>
    <w:rsid w:val="00C34C07"/>
    <w:rsid w:val="00C35842"/>
    <w:rsid w:val="00C43690"/>
    <w:rsid w:val="00C439A5"/>
    <w:rsid w:val="00C4672E"/>
    <w:rsid w:val="00C47D12"/>
    <w:rsid w:val="00C52FE8"/>
    <w:rsid w:val="00C54296"/>
    <w:rsid w:val="00C55222"/>
    <w:rsid w:val="00C618AB"/>
    <w:rsid w:val="00C63ACB"/>
    <w:rsid w:val="00C63AE0"/>
    <w:rsid w:val="00C6432B"/>
    <w:rsid w:val="00C6577C"/>
    <w:rsid w:val="00C67D2E"/>
    <w:rsid w:val="00C67E7B"/>
    <w:rsid w:val="00C71CA4"/>
    <w:rsid w:val="00C734E3"/>
    <w:rsid w:val="00C74A07"/>
    <w:rsid w:val="00C761F4"/>
    <w:rsid w:val="00C7746F"/>
    <w:rsid w:val="00C80755"/>
    <w:rsid w:val="00C809A8"/>
    <w:rsid w:val="00C80DBB"/>
    <w:rsid w:val="00C8145E"/>
    <w:rsid w:val="00C849DA"/>
    <w:rsid w:val="00C872DB"/>
    <w:rsid w:val="00C87326"/>
    <w:rsid w:val="00C87410"/>
    <w:rsid w:val="00C8771F"/>
    <w:rsid w:val="00C9070E"/>
    <w:rsid w:val="00C90E57"/>
    <w:rsid w:val="00C934BB"/>
    <w:rsid w:val="00C9376E"/>
    <w:rsid w:val="00C959A5"/>
    <w:rsid w:val="00C970FF"/>
    <w:rsid w:val="00CA0EDA"/>
    <w:rsid w:val="00CA1289"/>
    <w:rsid w:val="00CA1DF4"/>
    <w:rsid w:val="00CA2B43"/>
    <w:rsid w:val="00CA4F16"/>
    <w:rsid w:val="00CA56AE"/>
    <w:rsid w:val="00CA5B46"/>
    <w:rsid w:val="00CA6809"/>
    <w:rsid w:val="00CA7A27"/>
    <w:rsid w:val="00CB102F"/>
    <w:rsid w:val="00CB197C"/>
    <w:rsid w:val="00CB35B5"/>
    <w:rsid w:val="00CB4746"/>
    <w:rsid w:val="00CB4953"/>
    <w:rsid w:val="00CB6C36"/>
    <w:rsid w:val="00CC00CB"/>
    <w:rsid w:val="00CC05EC"/>
    <w:rsid w:val="00CC19FD"/>
    <w:rsid w:val="00CC23E6"/>
    <w:rsid w:val="00CC26D2"/>
    <w:rsid w:val="00CC3034"/>
    <w:rsid w:val="00CC424E"/>
    <w:rsid w:val="00CC42B3"/>
    <w:rsid w:val="00CC4A26"/>
    <w:rsid w:val="00CC6749"/>
    <w:rsid w:val="00CD0334"/>
    <w:rsid w:val="00CD0926"/>
    <w:rsid w:val="00CD3146"/>
    <w:rsid w:val="00CD31AE"/>
    <w:rsid w:val="00CD3F7C"/>
    <w:rsid w:val="00CD5E25"/>
    <w:rsid w:val="00CE0E3D"/>
    <w:rsid w:val="00CE2CD5"/>
    <w:rsid w:val="00CE3032"/>
    <w:rsid w:val="00CE361B"/>
    <w:rsid w:val="00CE4320"/>
    <w:rsid w:val="00CE4E87"/>
    <w:rsid w:val="00CE6622"/>
    <w:rsid w:val="00CF056E"/>
    <w:rsid w:val="00CF111C"/>
    <w:rsid w:val="00CF1D16"/>
    <w:rsid w:val="00CF2637"/>
    <w:rsid w:val="00CF508D"/>
    <w:rsid w:val="00D01C20"/>
    <w:rsid w:val="00D04AA3"/>
    <w:rsid w:val="00D04D71"/>
    <w:rsid w:val="00D054F6"/>
    <w:rsid w:val="00D05ABA"/>
    <w:rsid w:val="00D073D7"/>
    <w:rsid w:val="00D07D4E"/>
    <w:rsid w:val="00D07DBF"/>
    <w:rsid w:val="00D1034D"/>
    <w:rsid w:val="00D103DB"/>
    <w:rsid w:val="00D10A9D"/>
    <w:rsid w:val="00D1102D"/>
    <w:rsid w:val="00D14195"/>
    <w:rsid w:val="00D14E85"/>
    <w:rsid w:val="00D15457"/>
    <w:rsid w:val="00D15CA6"/>
    <w:rsid w:val="00D15EB2"/>
    <w:rsid w:val="00D163C7"/>
    <w:rsid w:val="00D22609"/>
    <w:rsid w:val="00D22776"/>
    <w:rsid w:val="00D228F1"/>
    <w:rsid w:val="00D238BB"/>
    <w:rsid w:val="00D241FE"/>
    <w:rsid w:val="00D24243"/>
    <w:rsid w:val="00D27F04"/>
    <w:rsid w:val="00D304DF"/>
    <w:rsid w:val="00D34EF0"/>
    <w:rsid w:val="00D359AD"/>
    <w:rsid w:val="00D435FC"/>
    <w:rsid w:val="00D44C87"/>
    <w:rsid w:val="00D45680"/>
    <w:rsid w:val="00D47C0F"/>
    <w:rsid w:val="00D5056D"/>
    <w:rsid w:val="00D50B60"/>
    <w:rsid w:val="00D51339"/>
    <w:rsid w:val="00D51877"/>
    <w:rsid w:val="00D51FD9"/>
    <w:rsid w:val="00D52466"/>
    <w:rsid w:val="00D52D0D"/>
    <w:rsid w:val="00D54973"/>
    <w:rsid w:val="00D55D6E"/>
    <w:rsid w:val="00D61A8C"/>
    <w:rsid w:val="00D6381E"/>
    <w:rsid w:val="00D64946"/>
    <w:rsid w:val="00D652AA"/>
    <w:rsid w:val="00D65C26"/>
    <w:rsid w:val="00D66444"/>
    <w:rsid w:val="00D66AB5"/>
    <w:rsid w:val="00D70AF6"/>
    <w:rsid w:val="00D7108A"/>
    <w:rsid w:val="00D7186E"/>
    <w:rsid w:val="00D71D75"/>
    <w:rsid w:val="00D72714"/>
    <w:rsid w:val="00D737DD"/>
    <w:rsid w:val="00D75BBC"/>
    <w:rsid w:val="00D76E0B"/>
    <w:rsid w:val="00D8048F"/>
    <w:rsid w:val="00D82019"/>
    <w:rsid w:val="00D827C9"/>
    <w:rsid w:val="00D8384E"/>
    <w:rsid w:val="00D83D0C"/>
    <w:rsid w:val="00D83D3B"/>
    <w:rsid w:val="00D84BD2"/>
    <w:rsid w:val="00D85382"/>
    <w:rsid w:val="00D913A3"/>
    <w:rsid w:val="00D918C7"/>
    <w:rsid w:val="00D94DB8"/>
    <w:rsid w:val="00D95785"/>
    <w:rsid w:val="00DA1B92"/>
    <w:rsid w:val="00DA1DFA"/>
    <w:rsid w:val="00DA3F7A"/>
    <w:rsid w:val="00DA5922"/>
    <w:rsid w:val="00DA78CF"/>
    <w:rsid w:val="00DA7B92"/>
    <w:rsid w:val="00DB00AB"/>
    <w:rsid w:val="00DB1D50"/>
    <w:rsid w:val="00DB5643"/>
    <w:rsid w:val="00DB74F6"/>
    <w:rsid w:val="00DC1F74"/>
    <w:rsid w:val="00DC2C5E"/>
    <w:rsid w:val="00DC5FD3"/>
    <w:rsid w:val="00DC7118"/>
    <w:rsid w:val="00DC769C"/>
    <w:rsid w:val="00DD1185"/>
    <w:rsid w:val="00DD1A3D"/>
    <w:rsid w:val="00DD21D1"/>
    <w:rsid w:val="00DD3D3C"/>
    <w:rsid w:val="00DD53AD"/>
    <w:rsid w:val="00DD59B2"/>
    <w:rsid w:val="00DD69E4"/>
    <w:rsid w:val="00DD6E11"/>
    <w:rsid w:val="00DD7ECA"/>
    <w:rsid w:val="00DE0334"/>
    <w:rsid w:val="00DE5488"/>
    <w:rsid w:val="00DF032D"/>
    <w:rsid w:val="00DF0B22"/>
    <w:rsid w:val="00DF7395"/>
    <w:rsid w:val="00E0035A"/>
    <w:rsid w:val="00E009FE"/>
    <w:rsid w:val="00E0214A"/>
    <w:rsid w:val="00E03FD0"/>
    <w:rsid w:val="00E07411"/>
    <w:rsid w:val="00E07777"/>
    <w:rsid w:val="00E10113"/>
    <w:rsid w:val="00E10F26"/>
    <w:rsid w:val="00E12E77"/>
    <w:rsid w:val="00E134A3"/>
    <w:rsid w:val="00E13B63"/>
    <w:rsid w:val="00E13DCF"/>
    <w:rsid w:val="00E1409F"/>
    <w:rsid w:val="00E15E89"/>
    <w:rsid w:val="00E170F2"/>
    <w:rsid w:val="00E2148E"/>
    <w:rsid w:val="00E22022"/>
    <w:rsid w:val="00E220A4"/>
    <w:rsid w:val="00E26713"/>
    <w:rsid w:val="00E27968"/>
    <w:rsid w:val="00E302E9"/>
    <w:rsid w:val="00E33B29"/>
    <w:rsid w:val="00E34198"/>
    <w:rsid w:val="00E3581F"/>
    <w:rsid w:val="00E35943"/>
    <w:rsid w:val="00E36E83"/>
    <w:rsid w:val="00E36EDD"/>
    <w:rsid w:val="00E3777B"/>
    <w:rsid w:val="00E37792"/>
    <w:rsid w:val="00E4042F"/>
    <w:rsid w:val="00E413F1"/>
    <w:rsid w:val="00E421FE"/>
    <w:rsid w:val="00E42D89"/>
    <w:rsid w:val="00E4313A"/>
    <w:rsid w:val="00E433E6"/>
    <w:rsid w:val="00E4459A"/>
    <w:rsid w:val="00E4477B"/>
    <w:rsid w:val="00E52CC3"/>
    <w:rsid w:val="00E54921"/>
    <w:rsid w:val="00E6031A"/>
    <w:rsid w:val="00E64D22"/>
    <w:rsid w:val="00E663FB"/>
    <w:rsid w:val="00E67E8B"/>
    <w:rsid w:val="00E71DF7"/>
    <w:rsid w:val="00E73A22"/>
    <w:rsid w:val="00E743A3"/>
    <w:rsid w:val="00E74AC2"/>
    <w:rsid w:val="00E759F0"/>
    <w:rsid w:val="00E768E4"/>
    <w:rsid w:val="00E76CEC"/>
    <w:rsid w:val="00E80031"/>
    <w:rsid w:val="00E80037"/>
    <w:rsid w:val="00E81E0D"/>
    <w:rsid w:val="00E81FC1"/>
    <w:rsid w:val="00E83F8C"/>
    <w:rsid w:val="00E86896"/>
    <w:rsid w:val="00E87DCA"/>
    <w:rsid w:val="00E9064A"/>
    <w:rsid w:val="00E942BF"/>
    <w:rsid w:val="00E96D9F"/>
    <w:rsid w:val="00E970C0"/>
    <w:rsid w:val="00E97AEF"/>
    <w:rsid w:val="00E97DBE"/>
    <w:rsid w:val="00EA008B"/>
    <w:rsid w:val="00EA32A5"/>
    <w:rsid w:val="00EA4552"/>
    <w:rsid w:val="00EA4F1E"/>
    <w:rsid w:val="00EA5515"/>
    <w:rsid w:val="00EA5D42"/>
    <w:rsid w:val="00EA6970"/>
    <w:rsid w:val="00EB2DA2"/>
    <w:rsid w:val="00EB4647"/>
    <w:rsid w:val="00EB7CC3"/>
    <w:rsid w:val="00EC2218"/>
    <w:rsid w:val="00EC2E55"/>
    <w:rsid w:val="00EC2F25"/>
    <w:rsid w:val="00ED29B6"/>
    <w:rsid w:val="00ED434C"/>
    <w:rsid w:val="00ED5AE1"/>
    <w:rsid w:val="00ED6C2D"/>
    <w:rsid w:val="00ED7450"/>
    <w:rsid w:val="00ED78A2"/>
    <w:rsid w:val="00EE0ADF"/>
    <w:rsid w:val="00EE4AA7"/>
    <w:rsid w:val="00EE4FC1"/>
    <w:rsid w:val="00EE640C"/>
    <w:rsid w:val="00EE7A6B"/>
    <w:rsid w:val="00EF213F"/>
    <w:rsid w:val="00EF2452"/>
    <w:rsid w:val="00EF3ECC"/>
    <w:rsid w:val="00EF48AE"/>
    <w:rsid w:val="00EF4D2E"/>
    <w:rsid w:val="00EF5DD9"/>
    <w:rsid w:val="00F05511"/>
    <w:rsid w:val="00F05760"/>
    <w:rsid w:val="00F066FD"/>
    <w:rsid w:val="00F07739"/>
    <w:rsid w:val="00F10AE9"/>
    <w:rsid w:val="00F11CAC"/>
    <w:rsid w:val="00F11DA1"/>
    <w:rsid w:val="00F128D2"/>
    <w:rsid w:val="00F1317F"/>
    <w:rsid w:val="00F15590"/>
    <w:rsid w:val="00F16BC8"/>
    <w:rsid w:val="00F20892"/>
    <w:rsid w:val="00F222EC"/>
    <w:rsid w:val="00F231AA"/>
    <w:rsid w:val="00F237A6"/>
    <w:rsid w:val="00F24340"/>
    <w:rsid w:val="00F25AC4"/>
    <w:rsid w:val="00F25BCE"/>
    <w:rsid w:val="00F279A0"/>
    <w:rsid w:val="00F3208B"/>
    <w:rsid w:val="00F344A0"/>
    <w:rsid w:val="00F344E8"/>
    <w:rsid w:val="00F363FB"/>
    <w:rsid w:val="00F41AE7"/>
    <w:rsid w:val="00F422F3"/>
    <w:rsid w:val="00F45812"/>
    <w:rsid w:val="00F50F7B"/>
    <w:rsid w:val="00F51E43"/>
    <w:rsid w:val="00F52960"/>
    <w:rsid w:val="00F53B7E"/>
    <w:rsid w:val="00F5480E"/>
    <w:rsid w:val="00F55E39"/>
    <w:rsid w:val="00F57EF6"/>
    <w:rsid w:val="00F622F5"/>
    <w:rsid w:val="00F64EF7"/>
    <w:rsid w:val="00F65F65"/>
    <w:rsid w:val="00F6602A"/>
    <w:rsid w:val="00F66B98"/>
    <w:rsid w:val="00F67A75"/>
    <w:rsid w:val="00F7024B"/>
    <w:rsid w:val="00F7029D"/>
    <w:rsid w:val="00F704CF"/>
    <w:rsid w:val="00F73067"/>
    <w:rsid w:val="00F751DA"/>
    <w:rsid w:val="00F76CD9"/>
    <w:rsid w:val="00F7734F"/>
    <w:rsid w:val="00F779A8"/>
    <w:rsid w:val="00F81032"/>
    <w:rsid w:val="00F819AD"/>
    <w:rsid w:val="00F839D7"/>
    <w:rsid w:val="00F846D6"/>
    <w:rsid w:val="00F86C4B"/>
    <w:rsid w:val="00F918F3"/>
    <w:rsid w:val="00F943FC"/>
    <w:rsid w:val="00F94F04"/>
    <w:rsid w:val="00FA0FA0"/>
    <w:rsid w:val="00FA4BA2"/>
    <w:rsid w:val="00FA56C3"/>
    <w:rsid w:val="00FA7FE7"/>
    <w:rsid w:val="00FB187F"/>
    <w:rsid w:val="00FB1CED"/>
    <w:rsid w:val="00FB26E3"/>
    <w:rsid w:val="00FB3DC3"/>
    <w:rsid w:val="00FB5E84"/>
    <w:rsid w:val="00FB705D"/>
    <w:rsid w:val="00FB73C4"/>
    <w:rsid w:val="00FC55E6"/>
    <w:rsid w:val="00FC560B"/>
    <w:rsid w:val="00FC6185"/>
    <w:rsid w:val="00FC61FC"/>
    <w:rsid w:val="00FC641C"/>
    <w:rsid w:val="00FC69F2"/>
    <w:rsid w:val="00FD2831"/>
    <w:rsid w:val="00FD3182"/>
    <w:rsid w:val="00FD3651"/>
    <w:rsid w:val="00FD70A3"/>
    <w:rsid w:val="00FD71B9"/>
    <w:rsid w:val="00FD737E"/>
    <w:rsid w:val="00FE0DBF"/>
    <w:rsid w:val="00FE1AB3"/>
    <w:rsid w:val="00FE32D3"/>
    <w:rsid w:val="00FE48B2"/>
    <w:rsid w:val="00FE6655"/>
    <w:rsid w:val="00FE7502"/>
    <w:rsid w:val="00FF5512"/>
    <w:rsid w:val="00FF6269"/>
    <w:rsid w:val="00FF6A2F"/>
    <w:rsid w:val="00FF796D"/>
    <w:rsid w:val="01125CD1"/>
    <w:rsid w:val="01902CB1"/>
    <w:rsid w:val="0252665D"/>
    <w:rsid w:val="028C3FC7"/>
    <w:rsid w:val="0292641E"/>
    <w:rsid w:val="031B2A14"/>
    <w:rsid w:val="03512577"/>
    <w:rsid w:val="048A06A0"/>
    <w:rsid w:val="04957EE9"/>
    <w:rsid w:val="05526DC9"/>
    <w:rsid w:val="05BB778A"/>
    <w:rsid w:val="06A7299C"/>
    <w:rsid w:val="06D414D1"/>
    <w:rsid w:val="070E362D"/>
    <w:rsid w:val="0770194E"/>
    <w:rsid w:val="07B43E13"/>
    <w:rsid w:val="08100829"/>
    <w:rsid w:val="08B912A8"/>
    <w:rsid w:val="08BA1D24"/>
    <w:rsid w:val="095C4665"/>
    <w:rsid w:val="09826498"/>
    <w:rsid w:val="0B307F06"/>
    <w:rsid w:val="0B7C5866"/>
    <w:rsid w:val="0D4E0FE4"/>
    <w:rsid w:val="0D775AF9"/>
    <w:rsid w:val="0F5E67A1"/>
    <w:rsid w:val="0F673852"/>
    <w:rsid w:val="0F7E5280"/>
    <w:rsid w:val="10747556"/>
    <w:rsid w:val="1233767B"/>
    <w:rsid w:val="12736131"/>
    <w:rsid w:val="13116383"/>
    <w:rsid w:val="136E12A8"/>
    <w:rsid w:val="14321311"/>
    <w:rsid w:val="15721E39"/>
    <w:rsid w:val="15D10434"/>
    <w:rsid w:val="17A65A79"/>
    <w:rsid w:val="17C90A93"/>
    <w:rsid w:val="17EC7D8A"/>
    <w:rsid w:val="189947E7"/>
    <w:rsid w:val="18CD2BB1"/>
    <w:rsid w:val="19967815"/>
    <w:rsid w:val="19BF2B73"/>
    <w:rsid w:val="1AAE7A8C"/>
    <w:rsid w:val="1BA40ECE"/>
    <w:rsid w:val="1D2720BA"/>
    <w:rsid w:val="1DD93C24"/>
    <w:rsid w:val="1E214675"/>
    <w:rsid w:val="1EB61116"/>
    <w:rsid w:val="20E21F80"/>
    <w:rsid w:val="224F0DAC"/>
    <w:rsid w:val="225B5109"/>
    <w:rsid w:val="2335767E"/>
    <w:rsid w:val="2375669A"/>
    <w:rsid w:val="247F3E8F"/>
    <w:rsid w:val="24EA789C"/>
    <w:rsid w:val="253121A4"/>
    <w:rsid w:val="25F43BE9"/>
    <w:rsid w:val="25FF2B4E"/>
    <w:rsid w:val="278B3679"/>
    <w:rsid w:val="27DA79BE"/>
    <w:rsid w:val="27EF5406"/>
    <w:rsid w:val="282F2EFC"/>
    <w:rsid w:val="289D572F"/>
    <w:rsid w:val="2A0332FC"/>
    <w:rsid w:val="2A201D6B"/>
    <w:rsid w:val="2B513D35"/>
    <w:rsid w:val="2C1E60E0"/>
    <w:rsid w:val="2DC258EC"/>
    <w:rsid w:val="2FAD22CB"/>
    <w:rsid w:val="31D41A4F"/>
    <w:rsid w:val="33F245AA"/>
    <w:rsid w:val="33FF669A"/>
    <w:rsid w:val="348D41C6"/>
    <w:rsid w:val="34C346A0"/>
    <w:rsid w:val="35E714F7"/>
    <w:rsid w:val="35EE45E9"/>
    <w:rsid w:val="36336D61"/>
    <w:rsid w:val="37933317"/>
    <w:rsid w:val="38DC1FEA"/>
    <w:rsid w:val="399A540A"/>
    <w:rsid w:val="39B05732"/>
    <w:rsid w:val="39CC6FB5"/>
    <w:rsid w:val="3A742C7D"/>
    <w:rsid w:val="3B3F397B"/>
    <w:rsid w:val="3B4300C7"/>
    <w:rsid w:val="3B690306"/>
    <w:rsid w:val="3B82342F"/>
    <w:rsid w:val="3BB76A33"/>
    <w:rsid w:val="3BD66891"/>
    <w:rsid w:val="3C2F484D"/>
    <w:rsid w:val="3D5B22AD"/>
    <w:rsid w:val="3E56725E"/>
    <w:rsid w:val="3EAA6A12"/>
    <w:rsid w:val="3F104904"/>
    <w:rsid w:val="3F377CF4"/>
    <w:rsid w:val="3F50013C"/>
    <w:rsid w:val="3FE13D50"/>
    <w:rsid w:val="40007AE3"/>
    <w:rsid w:val="4036253F"/>
    <w:rsid w:val="41BF421A"/>
    <w:rsid w:val="41F85FDB"/>
    <w:rsid w:val="42D44BBD"/>
    <w:rsid w:val="43496ADC"/>
    <w:rsid w:val="437F2A4C"/>
    <w:rsid w:val="438602D6"/>
    <w:rsid w:val="43B55B8A"/>
    <w:rsid w:val="4435479E"/>
    <w:rsid w:val="445530B8"/>
    <w:rsid w:val="448852AF"/>
    <w:rsid w:val="44D64D9B"/>
    <w:rsid w:val="44EB5E5E"/>
    <w:rsid w:val="45F431D4"/>
    <w:rsid w:val="461C2F1E"/>
    <w:rsid w:val="46D92C50"/>
    <w:rsid w:val="47293CD0"/>
    <w:rsid w:val="48F30D3D"/>
    <w:rsid w:val="49FD4CC9"/>
    <w:rsid w:val="4A976F81"/>
    <w:rsid w:val="4B5F72ED"/>
    <w:rsid w:val="4B863005"/>
    <w:rsid w:val="4B872B7C"/>
    <w:rsid w:val="4BC92DD3"/>
    <w:rsid w:val="4C095A4C"/>
    <w:rsid w:val="4C6704EE"/>
    <w:rsid w:val="4C8B73FF"/>
    <w:rsid w:val="4CAE3FDC"/>
    <w:rsid w:val="4F2426DA"/>
    <w:rsid w:val="4FC82678"/>
    <w:rsid w:val="4FE70916"/>
    <w:rsid w:val="502A5F79"/>
    <w:rsid w:val="51062806"/>
    <w:rsid w:val="515079AF"/>
    <w:rsid w:val="51CB4A85"/>
    <w:rsid w:val="52820929"/>
    <w:rsid w:val="53805D47"/>
    <w:rsid w:val="53B34A59"/>
    <w:rsid w:val="53B67530"/>
    <w:rsid w:val="547E60BB"/>
    <w:rsid w:val="54E51516"/>
    <w:rsid w:val="552114B7"/>
    <w:rsid w:val="562C675F"/>
    <w:rsid w:val="571742F6"/>
    <w:rsid w:val="57661D50"/>
    <w:rsid w:val="57D14A00"/>
    <w:rsid w:val="584667E1"/>
    <w:rsid w:val="5867603E"/>
    <w:rsid w:val="58BA6992"/>
    <w:rsid w:val="59F51F76"/>
    <w:rsid w:val="5A721394"/>
    <w:rsid w:val="5AB042BC"/>
    <w:rsid w:val="5B32041A"/>
    <w:rsid w:val="5B7831A0"/>
    <w:rsid w:val="5BE30604"/>
    <w:rsid w:val="5CB04E73"/>
    <w:rsid w:val="5E06036E"/>
    <w:rsid w:val="5EBB4EE6"/>
    <w:rsid w:val="5EF85B08"/>
    <w:rsid w:val="5F371FB4"/>
    <w:rsid w:val="5F88394B"/>
    <w:rsid w:val="5FBF60C5"/>
    <w:rsid w:val="604A3A09"/>
    <w:rsid w:val="61ED2F49"/>
    <w:rsid w:val="62E05432"/>
    <w:rsid w:val="63E52F65"/>
    <w:rsid w:val="63FB39E9"/>
    <w:rsid w:val="642D0CA5"/>
    <w:rsid w:val="65A706F6"/>
    <w:rsid w:val="66A81C74"/>
    <w:rsid w:val="66A8793B"/>
    <w:rsid w:val="67C30A19"/>
    <w:rsid w:val="69A97868"/>
    <w:rsid w:val="6A7C5642"/>
    <w:rsid w:val="6AC271EF"/>
    <w:rsid w:val="6AE23E89"/>
    <w:rsid w:val="6C5042C3"/>
    <w:rsid w:val="6CA2084A"/>
    <w:rsid w:val="6D084564"/>
    <w:rsid w:val="6E625B05"/>
    <w:rsid w:val="702F3F50"/>
    <w:rsid w:val="70992649"/>
    <w:rsid w:val="71A263E9"/>
    <w:rsid w:val="72336AC0"/>
    <w:rsid w:val="7506570B"/>
    <w:rsid w:val="755F7C58"/>
    <w:rsid w:val="759A5F7F"/>
    <w:rsid w:val="76015D09"/>
    <w:rsid w:val="77316224"/>
    <w:rsid w:val="7759670D"/>
    <w:rsid w:val="77E52BFF"/>
    <w:rsid w:val="77F93384"/>
    <w:rsid w:val="785824E3"/>
    <w:rsid w:val="796A3742"/>
    <w:rsid w:val="7AAA62CC"/>
    <w:rsid w:val="7B161187"/>
    <w:rsid w:val="7B862667"/>
    <w:rsid w:val="7C001336"/>
    <w:rsid w:val="7C4902F7"/>
    <w:rsid w:val="7CF60314"/>
    <w:rsid w:val="7D4D264B"/>
    <w:rsid w:val="7E0B07F1"/>
    <w:rsid w:val="7E8F73C2"/>
    <w:rsid w:val="7EB72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楷体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0"/>
    <w:pPr>
      <w:autoSpaceDE w:val="0"/>
      <w:autoSpaceDN w:val="0"/>
      <w:adjustRightInd w:val="0"/>
      <w:snapToGrid w:val="0"/>
      <w:spacing w:line="360" w:lineRule="auto"/>
      <w:ind w:left="3105" w:hanging="1320"/>
      <w:jc w:val="center"/>
      <w:outlineLvl w:val="0"/>
    </w:pPr>
    <w:rPr>
      <w:rFonts w:eastAsia="黑体"/>
      <w:sz w:val="44"/>
      <w:szCs w:val="44"/>
    </w:rPr>
  </w:style>
  <w:style w:type="paragraph" w:styleId="3">
    <w:name w:val="heading 2"/>
    <w:basedOn w:val="1"/>
    <w:next w:val="1"/>
    <w:link w:val="34"/>
    <w:qFormat/>
    <w:uiPriority w:val="0"/>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4">
    <w:name w:val="heading 3"/>
    <w:basedOn w:val="1"/>
    <w:next w:val="1"/>
    <w:link w:val="35"/>
    <w:qFormat/>
    <w:uiPriority w:val="0"/>
    <w:pPr>
      <w:autoSpaceDE w:val="0"/>
      <w:autoSpaceDN w:val="0"/>
      <w:adjustRightInd w:val="0"/>
      <w:spacing w:before="16"/>
      <w:jc w:val="left"/>
      <w:outlineLvl w:val="2"/>
    </w:pPr>
    <w:rPr>
      <w:rFonts w:ascii="仿宋_GB2312" w:eastAsia="仿宋_GB2312" w:cs="MingLiU"/>
      <w:b/>
      <w:kern w:val="0"/>
      <w:sz w:val="24"/>
      <w:szCs w:val="28"/>
    </w:rPr>
  </w:style>
  <w:style w:type="paragraph" w:styleId="5">
    <w:name w:val="heading 4"/>
    <w:basedOn w:val="4"/>
    <w:next w:val="1"/>
    <w:link w:val="36"/>
    <w:qFormat/>
    <w:uiPriority w:val="0"/>
    <w:pPr>
      <w:jc w:val="center"/>
      <w:outlineLvl w:val="3"/>
    </w:p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3"/>
    <w:qFormat/>
    <w:uiPriority w:val="0"/>
    <w:pPr>
      <w:adjustRightInd w:val="0"/>
      <w:spacing w:line="360" w:lineRule="atLeast"/>
      <w:jc w:val="left"/>
      <w:textAlignment w:val="baseline"/>
    </w:pPr>
    <w:rPr>
      <w:kern w:val="0"/>
      <w:sz w:val="24"/>
      <w:szCs w:val="20"/>
    </w:rPr>
  </w:style>
  <w:style w:type="paragraph" w:styleId="7">
    <w:name w:val="Body Text 3"/>
    <w:basedOn w:val="1"/>
    <w:qFormat/>
    <w:uiPriority w:val="0"/>
    <w:pPr>
      <w:spacing w:after="120"/>
    </w:pPr>
    <w:rPr>
      <w:sz w:val="16"/>
      <w:szCs w:val="16"/>
    </w:rPr>
  </w:style>
  <w:style w:type="paragraph" w:styleId="8">
    <w:name w:val="Body Text"/>
    <w:basedOn w:val="1"/>
    <w:next w:val="1"/>
    <w:link w:val="38"/>
    <w:qFormat/>
    <w:uiPriority w:val="0"/>
    <w:rPr>
      <w:sz w:val="26"/>
    </w:rPr>
  </w:style>
  <w:style w:type="paragraph" w:styleId="9">
    <w:name w:val="toc 3"/>
    <w:basedOn w:val="1"/>
    <w:next w:val="1"/>
    <w:qFormat/>
    <w:uiPriority w:val="39"/>
    <w:pPr>
      <w:ind w:left="420"/>
      <w:jc w:val="left"/>
    </w:pPr>
    <w:rPr>
      <w:rFonts w:ascii="Calibri" w:hAnsi="Calibri" w:eastAsia="仿宋_GB2312"/>
      <w:iCs/>
      <w:szCs w:val="20"/>
    </w:rPr>
  </w:style>
  <w:style w:type="paragraph" w:styleId="10">
    <w:name w:val="Plain Text"/>
    <w:basedOn w:val="1"/>
    <w:link w:val="53"/>
    <w:qFormat/>
    <w:uiPriority w:val="0"/>
    <w:rPr>
      <w:rFonts w:ascii="宋体" w:hAnsi="Courier New"/>
      <w:sz w:val="28"/>
      <w:szCs w:val="28"/>
    </w:rPr>
  </w:style>
  <w:style w:type="paragraph" w:styleId="11">
    <w:name w:val="Date"/>
    <w:basedOn w:val="1"/>
    <w:next w:val="1"/>
    <w:link w:val="48"/>
    <w:qFormat/>
    <w:uiPriority w:val="0"/>
    <w:pPr>
      <w:ind w:left="100" w:leftChars="2500"/>
    </w:pPr>
  </w:style>
  <w:style w:type="paragraph" w:styleId="12">
    <w:name w:val="Body Text Indent 2"/>
    <w:basedOn w:val="1"/>
    <w:qFormat/>
    <w:uiPriority w:val="0"/>
    <w:pPr>
      <w:ind w:left="1005" w:hanging="1005"/>
    </w:pPr>
    <w:rPr>
      <w:rFonts w:eastAsia="仿宋_GB2312"/>
      <w:sz w:val="32"/>
      <w:szCs w:val="20"/>
    </w:rPr>
  </w:style>
  <w:style w:type="paragraph" w:styleId="13">
    <w:name w:val="Balloon Text"/>
    <w:basedOn w:val="1"/>
    <w:link w:val="54"/>
    <w:qFormat/>
    <w:uiPriority w:val="0"/>
    <w:rPr>
      <w:sz w:val="18"/>
      <w:szCs w:val="18"/>
    </w:rPr>
  </w:style>
  <w:style w:type="paragraph" w:styleId="14">
    <w:name w:val="footer"/>
    <w:basedOn w:val="1"/>
    <w:link w:val="50"/>
    <w:qFormat/>
    <w:uiPriority w:val="99"/>
    <w:pPr>
      <w:tabs>
        <w:tab w:val="center" w:pos="4153"/>
        <w:tab w:val="right" w:pos="8306"/>
      </w:tabs>
      <w:snapToGrid w:val="0"/>
      <w:jc w:val="left"/>
    </w:pPr>
    <w:rPr>
      <w:sz w:val="18"/>
      <w:szCs w:val="18"/>
    </w:rPr>
  </w:style>
  <w:style w:type="paragraph" w:styleId="15">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rFonts w:ascii="Calibri" w:hAnsi="Calibri" w:eastAsia="仿宋_GB2312"/>
      <w:b/>
      <w:bCs/>
      <w:caps/>
      <w:sz w:val="28"/>
      <w:szCs w:val="20"/>
    </w:rPr>
  </w:style>
  <w:style w:type="paragraph" w:styleId="17">
    <w:name w:val="Subtitle"/>
    <w:basedOn w:val="1"/>
    <w:link w:val="51"/>
    <w:qFormat/>
    <w:uiPriority w:val="0"/>
    <w:pPr>
      <w:widowControl/>
      <w:jc w:val="center"/>
    </w:pPr>
    <w:rPr>
      <w:kern w:val="0"/>
      <w:sz w:val="20"/>
      <w:u w:val="single"/>
      <w:lang w:eastAsia="en-US"/>
    </w:rPr>
  </w:style>
  <w:style w:type="paragraph" w:styleId="18">
    <w:name w:val="footnote text"/>
    <w:basedOn w:val="1"/>
    <w:link w:val="37"/>
    <w:qFormat/>
    <w:uiPriority w:val="0"/>
    <w:pPr>
      <w:snapToGrid w:val="0"/>
      <w:jc w:val="left"/>
    </w:pPr>
    <w:rPr>
      <w:sz w:val="18"/>
      <w:szCs w:val="18"/>
    </w:rPr>
  </w:style>
  <w:style w:type="paragraph" w:styleId="19">
    <w:name w:val="toc 2"/>
    <w:basedOn w:val="1"/>
    <w:next w:val="1"/>
    <w:qFormat/>
    <w:uiPriority w:val="39"/>
    <w:pPr>
      <w:tabs>
        <w:tab w:val="right" w:leader="dot" w:pos="8609"/>
      </w:tabs>
      <w:spacing w:line="0" w:lineRule="atLeast"/>
      <w:ind w:left="210"/>
      <w:jc w:val="distribute"/>
    </w:pPr>
    <w:rPr>
      <w:rFonts w:ascii="宋体" w:hAnsi="宋体"/>
      <w:b/>
      <w:smallCaps/>
      <w:szCs w:val="21"/>
    </w:rPr>
  </w:style>
  <w:style w:type="paragraph" w:styleId="20">
    <w:name w:val="Body Text 2"/>
    <w:basedOn w:val="1"/>
    <w:link w:val="39"/>
    <w:qFormat/>
    <w:uiPriority w:val="0"/>
    <w:rPr>
      <w:i/>
      <w:iCs/>
      <w:sz w:val="26"/>
    </w:rPr>
  </w:style>
  <w:style w:type="paragraph" w:styleId="21">
    <w:name w:val="List Continue 2"/>
    <w:basedOn w:val="1"/>
    <w:qFormat/>
    <w:uiPriority w:val="0"/>
    <w:pPr>
      <w:spacing w:after="120"/>
      <w:ind w:left="840" w:leftChars="400"/>
    </w:pPr>
    <w:rPr>
      <w:szCs w:val="20"/>
    </w:rPr>
  </w:style>
  <w:style w:type="paragraph" w:styleId="22">
    <w:name w:val="HTML Preformatted"/>
    <w:basedOn w:val="1"/>
    <w:link w:val="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sz w:val="24"/>
      <w:szCs w:val="20"/>
    </w:rPr>
  </w:style>
  <w:style w:type="paragraph" w:styleId="23">
    <w:name w:val="Normal (Web)"/>
    <w:basedOn w:val="1"/>
    <w:qFormat/>
    <w:uiPriority w:val="0"/>
    <w:pPr>
      <w:widowControl/>
      <w:jc w:val="left"/>
    </w:pPr>
    <w:rPr>
      <w:rFonts w:ascii="宋体" w:hAnsi="宋体" w:cs="宋体"/>
      <w:kern w:val="0"/>
      <w:sz w:val="24"/>
    </w:rPr>
  </w:style>
  <w:style w:type="paragraph" w:styleId="24">
    <w:name w:val="annotation subject"/>
    <w:basedOn w:val="6"/>
    <w:next w:val="6"/>
    <w:link w:val="42"/>
    <w:qFormat/>
    <w:uiPriority w:val="0"/>
    <w:pPr>
      <w:adjustRightInd/>
      <w:spacing w:line="240" w:lineRule="auto"/>
      <w:textAlignment w:val="auto"/>
    </w:pPr>
    <w:rPr>
      <w:b/>
      <w:bCs/>
      <w:kern w:val="2"/>
      <w:sz w:val="21"/>
      <w:szCs w:val="24"/>
    </w:rPr>
  </w:style>
  <w:style w:type="paragraph" w:styleId="25">
    <w:name w:val="Body Text First Indent"/>
    <w:basedOn w:val="8"/>
    <w:link w:val="41"/>
    <w:qFormat/>
    <w:uiPriority w:val="0"/>
    <w:pPr>
      <w:spacing w:after="120"/>
      <w:ind w:firstLine="420" w:firstLineChars="100"/>
    </w:pPr>
    <w:rPr>
      <w:sz w:val="28"/>
    </w:rPr>
  </w:style>
  <w:style w:type="table" w:styleId="27">
    <w:name w:val="Table Grid"/>
    <w:basedOn w:val="2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Emphasis"/>
    <w:qFormat/>
    <w:uiPriority w:val="20"/>
    <w:rPr>
      <w:i/>
      <w:iCs/>
    </w:rPr>
  </w:style>
  <w:style w:type="character" w:styleId="31">
    <w:name w:val="Hyperlink"/>
    <w:qFormat/>
    <w:uiPriority w:val="99"/>
    <w:rPr>
      <w:color w:val="0000FF"/>
      <w:u w:val="single"/>
    </w:rPr>
  </w:style>
  <w:style w:type="character" w:styleId="32">
    <w:name w:val="annotation reference"/>
    <w:semiHidden/>
    <w:qFormat/>
    <w:uiPriority w:val="0"/>
    <w:rPr>
      <w:sz w:val="21"/>
      <w:szCs w:val="21"/>
    </w:rPr>
  </w:style>
  <w:style w:type="character" w:customStyle="1" w:styleId="33">
    <w:name w:val="标题 1 字符"/>
    <w:link w:val="2"/>
    <w:qFormat/>
    <w:uiPriority w:val="0"/>
    <w:rPr>
      <w:rFonts w:eastAsia="黑体"/>
      <w:kern w:val="2"/>
      <w:sz w:val="44"/>
      <w:szCs w:val="44"/>
    </w:rPr>
  </w:style>
  <w:style w:type="character" w:customStyle="1" w:styleId="34">
    <w:name w:val="标题 2 字符"/>
    <w:link w:val="3"/>
    <w:qFormat/>
    <w:uiPriority w:val="0"/>
    <w:rPr>
      <w:rFonts w:ascii="仿宋_GB2312" w:eastAsia="仿宋_GB2312" w:cs="MingLiU"/>
      <w:b/>
      <w:spacing w:val="1"/>
      <w:w w:val="99"/>
      <w:sz w:val="28"/>
      <w:szCs w:val="32"/>
      <w:lang w:val="en-US" w:eastAsia="zh-CN" w:bidi="ar-SA"/>
    </w:rPr>
  </w:style>
  <w:style w:type="character" w:customStyle="1" w:styleId="35">
    <w:name w:val="标题 3 字符"/>
    <w:link w:val="4"/>
    <w:qFormat/>
    <w:uiPriority w:val="0"/>
    <w:rPr>
      <w:rFonts w:ascii="仿宋_GB2312" w:eastAsia="仿宋_GB2312" w:cs="MingLiU"/>
      <w:b/>
      <w:sz w:val="24"/>
      <w:szCs w:val="28"/>
      <w:lang w:val="en-US" w:eastAsia="zh-CN" w:bidi="ar-SA"/>
    </w:rPr>
  </w:style>
  <w:style w:type="character" w:customStyle="1" w:styleId="36">
    <w:name w:val="标题 4 字符"/>
    <w:link w:val="5"/>
    <w:qFormat/>
    <w:uiPriority w:val="0"/>
    <w:rPr>
      <w:rFonts w:ascii="仿宋_GB2312" w:eastAsia="仿宋_GB2312" w:cs="MingLiU"/>
      <w:b/>
      <w:sz w:val="24"/>
      <w:szCs w:val="28"/>
      <w:lang w:val="en-US" w:eastAsia="zh-CN" w:bidi="ar-SA"/>
    </w:rPr>
  </w:style>
  <w:style w:type="character" w:customStyle="1" w:styleId="37">
    <w:name w:val="脚注文本 字符"/>
    <w:link w:val="18"/>
    <w:qFormat/>
    <w:uiPriority w:val="0"/>
    <w:rPr>
      <w:rFonts w:eastAsia="宋体"/>
      <w:kern w:val="2"/>
      <w:sz w:val="18"/>
      <w:szCs w:val="18"/>
      <w:lang w:val="en-US" w:eastAsia="zh-CN" w:bidi="ar-SA"/>
    </w:rPr>
  </w:style>
  <w:style w:type="character" w:customStyle="1" w:styleId="38">
    <w:name w:val="正文文本 字符"/>
    <w:link w:val="8"/>
    <w:qFormat/>
    <w:uiPriority w:val="0"/>
    <w:rPr>
      <w:rFonts w:eastAsia="宋体"/>
      <w:kern w:val="2"/>
      <w:sz w:val="26"/>
      <w:szCs w:val="24"/>
      <w:lang w:val="en-US" w:eastAsia="zh-CN" w:bidi="ar-SA"/>
    </w:rPr>
  </w:style>
  <w:style w:type="character" w:customStyle="1" w:styleId="39">
    <w:name w:val="正文文本 2 字符"/>
    <w:link w:val="20"/>
    <w:qFormat/>
    <w:uiPriority w:val="0"/>
    <w:rPr>
      <w:rFonts w:eastAsia="宋体"/>
      <w:i/>
      <w:iCs/>
      <w:kern w:val="2"/>
      <w:sz w:val="26"/>
      <w:szCs w:val="24"/>
      <w:lang w:val="en-US" w:eastAsia="zh-CN" w:bidi="ar-SA"/>
    </w:rPr>
  </w:style>
  <w:style w:type="character" w:customStyle="1" w:styleId="40">
    <w:name w:val="Char Char12"/>
    <w:qFormat/>
    <w:uiPriority w:val="0"/>
    <w:rPr>
      <w:rFonts w:ascii="仿宋_GB2312" w:eastAsia="仿宋_GB2312" w:cs="MingLiU"/>
      <w:b/>
      <w:spacing w:val="1"/>
      <w:w w:val="99"/>
      <w:sz w:val="28"/>
      <w:szCs w:val="32"/>
      <w:lang w:val="en-US" w:eastAsia="zh-CN" w:bidi="ar-SA"/>
    </w:rPr>
  </w:style>
  <w:style w:type="character" w:customStyle="1" w:styleId="41">
    <w:name w:val="正文文本首行缩进 字符"/>
    <w:link w:val="25"/>
    <w:qFormat/>
    <w:uiPriority w:val="0"/>
    <w:rPr>
      <w:rFonts w:eastAsia="宋体"/>
      <w:kern w:val="2"/>
      <w:sz w:val="28"/>
      <w:szCs w:val="24"/>
      <w:lang w:val="en-US" w:eastAsia="zh-CN" w:bidi="ar-SA"/>
    </w:rPr>
  </w:style>
  <w:style w:type="character" w:customStyle="1" w:styleId="42">
    <w:name w:val="批注主题 字符"/>
    <w:link w:val="24"/>
    <w:qFormat/>
    <w:uiPriority w:val="0"/>
    <w:rPr>
      <w:rFonts w:eastAsia="宋体"/>
      <w:b/>
      <w:bCs/>
      <w:kern w:val="2"/>
      <w:sz w:val="21"/>
      <w:szCs w:val="24"/>
      <w:lang w:val="en-US" w:eastAsia="zh-CN" w:bidi="ar-SA"/>
    </w:rPr>
  </w:style>
  <w:style w:type="character" w:customStyle="1" w:styleId="43">
    <w:name w:val="批注文字 字符"/>
    <w:link w:val="6"/>
    <w:qFormat/>
    <w:uiPriority w:val="0"/>
    <w:rPr>
      <w:rFonts w:eastAsia="宋体"/>
      <w:sz w:val="24"/>
      <w:lang w:val="en-US" w:eastAsia="zh-CN" w:bidi="ar-SA"/>
    </w:rPr>
  </w:style>
  <w:style w:type="character" w:customStyle="1" w:styleId="44">
    <w:name w:val="HTML 预设格式 字符"/>
    <w:link w:val="22"/>
    <w:qFormat/>
    <w:uiPriority w:val="0"/>
    <w:rPr>
      <w:rFonts w:ascii="宋体" w:hAnsi="宋体"/>
      <w:color w:val="000000"/>
      <w:kern w:val="2"/>
      <w:sz w:val="24"/>
    </w:rPr>
  </w:style>
  <w:style w:type="character" w:customStyle="1" w:styleId="45">
    <w:name w:val="5号正文 Char"/>
    <w:link w:val="46"/>
    <w:qFormat/>
    <w:uiPriority w:val="0"/>
    <w:rPr>
      <w:rFonts w:ascii="楷体_GB2312" w:hAnsi="宋体" w:eastAsia="楷体_GB2312"/>
      <w:snapToGrid w:val="0"/>
      <w:sz w:val="24"/>
      <w:szCs w:val="28"/>
      <w:lang w:val="en-US" w:eastAsia="zh-CN" w:bidi="ar-SA"/>
    </w:rPr>
  </w:style>
  <w:style w:type="paragraph" w:customStyle="1" w:styleId="46">
    <w:name w:val="5号正文"/>
    <w:link w:val="45"/>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character" w:customStyle="1" w:styleId="47">
    <w:name w:val="副标题 Char1"/>
    <w:qFormat/>
    <w:uiPriority w:val="0"/>
    <w:rPr>
      <w:rFonts w:ascii="Calibri Light" w:hAnsi="Calibri Light" w:cs="Times New Roman"/>
      <w:b/>
      <w:bCs/>
      <w:kern w:val="28"/>
      <w:sz w:val="32"/>
      <w:szCs w:val="32"/>
    </w:rPr>
  </w:style>
  <w:style w:type="character" w:customStyle="1" w:styleId="48">
    <w:name w:val="日期 字符"/>
    <w:link w:val="11"/>
    <w:qFormat/>
    <w:uiPriority w:val="0"/>
    <w:rPr>
      <w:kern w:val="2"/>
      <w:sz w:val="21"/>
      <w:szCs w:val="24"/>
    </w:rPr>
  </w:style>
  <w:style w:type="character" w:customStyle="1" w:styleId="49">
    <w:name w:val="Char Char11"/>
    <w:qFormat/>
    <w:uiPriority w:val="0"/>
    <w:rPr>
      <w:rFonts w:ascii="仿宋_GB2312" w:eastAsia="仿宋_GB2312" w:cs="MingLiU"/>
      <w:b/>
      <w:sz w:val="24"/>
      <w:szCs w:val="28"/>
      <w:lang w:val="en-US" w:eastAsia="zh-CN" w:bidi="ar-SA"/>
    </w:rPr>
  </w:style>
  <w:style w:type="character" w:customStyle="1" w:styleId="50">
    <w:name w:val="页脚 字符"/>
    <w:link w:val="14"/>
    <w:qFormat/>
    <w:uiPriority w:val="99"/>
    <w:rPr>
      <w:rFonts w:eastAsia="宋体"/>
      <w:kern w:val="2"/>
      <w:sz w:val="18"/>
      <w:szCs w:val="18"/>
      <w:lang w:val="en-US" w:eastAsia="zh-CN" w:bidi="ar-SA"/>
    </w:rPr>
  </w:style>
  <w:style w:type="character" w:customStyle="1" w:styleId="51">
    <w:name w:val="副标题 字符"/>
    <w:link w:val="17"/>
    <w:qFormat/>
    <w:uiPriority w:val="0"/>
    <w:rPr>
      <w:szCs w:val="24"/>
      <w:u w:val="single"/>
      <w:lang w:eastAsia="en-US"/>
    </w:rPr>
  </w:style>
  <w:style w:type="character" w:customStyle="1" w:styleId="52">
    <w:name w:val="页眉 字符"/>
    <w:link w:val="15"/>
    <w:qFormat/>
    <w:uiPriority w:val="0"/>
    <w:rPr>
      <w:rFonts w:eastAsia="宋体"/>
      <w:kern w:val="2"/>
      <w:sz w:val="18"/>
      <w:szCs w:val="18"/>
      <w:lang w:val="en-US" w:eastAsia="zh-CN" w:bidi="ar-SA"/>
    </w:rPr>
  </w:style>
  <w:style w:type="character" w:customStyle="1" w:styleId="53">
    <w:name w:val="纯文本 字符"/>
    <w:link w:val="10"/>
    <w:qFormat/>
    <w:uiPriority w:val="0"/>
    <w:rPr>
      <w:rFonts w:ascii="宋体" w:hAnsi="Courier New" w:eastAsia="宋体"/>
      <w:kern w:val="2"/>
      <w:sz w:val="28"/>
      <w:szCs w:val="28"/>
      <w:lang w:val="en-US" w:eastAsia="zh-CN" w:bidi="ar-SA"/>
    </w:rPr>
  </w:style>
  <w:style w:type="character" w:customStyle="1" w:styleId="54">
    <w:name w:val="批注框文本 字符"/>
    <w:link w:val="13"/>
    <w:qFormat/>
    <w:uiPriority w:val="0"/>
    <w:rPr>
      <w:rFonts w:eastAsia="宋体"/>
      <w:kern w:val="2"/>
      <w:sz w:val="18"/>
      <w:szCs w:val="18"/>
      <w:lang w:val="en-US" w:eastAsia="zh-CN" w:bidi="ar-SA"/>
    </w:rPr>
  </w:style>
  <w:style w:type="character" w:customStyle="1" w:styleId="55">
    <w:name w:val="5号正文 Char Char"/>
    <w:qFormat/>
    <w:uiPriority w:val="0"/>
    <w:rPr>
      <w:rFonts w:ascii="楷体_GB2312" w:hAnsi="宋体" w:eastAsia="楷体_GB2312"/>
      <w:snapToGrid w:val="0"/>
      <w:sz w:val="24"/>
      <w:szCs w:val="28"/>
    </w:rPr>
  </w:style>
  <w:style w:type="paragraph" w:customStyle="1" w:styleId="56">
    <w:name w:val="Char Char Char Char"/>
    <w:basedOn w:val="1"/>
    <w:qFormat/>
    <w:uiPriority w:val="0"/>
    <w:pPr>
      <w:jc w:val="center"/>
    </w:pPr>
    <w:rPr>
      <w:rFonts w:ascii="仿宋_GB2312" w:eastAsia="仿宋_GB2312"/>
      <w:b/>
      <w:sz w:val="32"/>
      <w:szCs w:val="32"/>
    </w:rPr>
  </w:style>
  <w:style w:type="paragraph" w:customStyle="1" w:styleId="57">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8">
    <w:name w:val="标准样式1"/>
    <w:basedOn w:val="1"/>
    <w:qFormat/>
    <w:uiPriority w:val="0"/>
    <w:pPr>
      <w:spacing w:line="600" w:lineRule="exact"/>
      <w:ind w:firstLine="567"/>
    </w:pPr>
    <w:rPr>
      <w:sz w:val="28"/>
    </w:rPr>
  </w:style>
  <w:style w:type="paragraph" w:customStyle="1" w:styleId="5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61">
    <w:name w:val="Char Char29 Char Char Char Char Char Char"/>
    <w:basedOn w:val="1"/>
    <w:qFormat/>
    <w:uiPriority w:val="0"/>
    <w:pPr>
      <w:spacing w:beforeLines="50" w:afterLines="50"/>
    </w:pPr>
    <w:rPr>
      <w:rFonts w:ascii="Tahoma" w:hAnsi="Tahoma"/>
      <w:sz w:val="24"/>
      <w:szCs w:val="20"/>
    </w:rPr>
  </w:style>
  <w:style w:type="paragraph" w:customStyle="1" w:styleId="62">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3">
    <w:name w:val="Char"/>
    <w:basedOn w:val="1"/>
    <w:qFormat/>
    <w:uiPriority w:val="0"/>
    <w:rPr>
      <w:szCs w:val="20"/>
    </w:rPr>
  </w:style>
  <w:style w:type="paragraph" w:customStyle="1" w:styleId="64">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5">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Char Char1 Char Char Char Char Char Char Char"/>
    <w:basedOn w:val="1"/>
    <w:qFormat/>
    <w:uiPriority w:val="0"/>
    <w:pPr>
      <w:pageBreakBefore/>
    </w:pPr>
    <w:rPr>
      <w:szCs w:val="20"/>
    </w:rPr>
  </w:style>
  <w:style w:type="paragraph" w:customStyle="1" w:styleId="67">
    <w:name w:val="宋体 5号"/>
    <w:basedOn w:val="1"/>
    <w:qFormat/>
    <w:uiPriority w:val="0"/>
    <w:pPr>
      <w:spacing w:line="240" w:lineRule="exact"/>
    </w:pPr>
    <w:rPr>
      <w:szCs w:val="20"/>
    </w:rPr>
  </w:style>
  <w:style w:type="paragraph" w:customStyle="1" w:styleId="68">
    <w:name w:val="Char Char Char Char Char Char Char Char Char"/>
    <w:basedOn w:val="1"/>
    <w:qFormat/>
    <w:uiPriority w:val="0"/>
  </w:style>
  <w:style w:type="paragraph" w:customStyle="1" w:styleId="69">
    <w:name w:val="样式3"/>
    <w:basedOn w:val="4"/>
    <w:qFormat/>
    <w:uiPriority w:val="0"/>
    <w:pPr>
      <w:keepNext/>
      <w:keepLines/>
      <w:spacing w:before="0" w:line="360" w:lineRule="auto"/>
      <w:ind w:left="119" w:right="-23"/>
    </w:pPr>
    <w:rPr>
      <w:rFonts w:ascii="宋体" w:hAnsi="宋体" w:cs="Times New Roman"/>
      <w:bCs/>
      <w:szCs w:val="32"/>
    </w:rPr>
  </w:style>
  <w:style w:type="paragraph" w:customStyle="1" w:styleId="70">
    <w:name w:val="样式2"/>
    <w:basedOn w:val="3"/>
    <w:qFormat/>
    <w:uiPriority w:val="0"/>
    <w:pPr>
      <w:keepNext/>
      <w:keepLines/>
      <w:snapToGrid/>
      <w:spacing w:before="260" w:after="260" w:line="300" w:lineRule="exact"/>
      <w:ind w:left="220" w:right="-20"/>
      <w:jc w:val="center"/>
    </w:pPr>
    <w:rPr>
      <w:rFonts w:ascii="宋体" w:hAnsi="宋体" w:cs="Times New Roman"/>
      <w:bCs/>
      <w:spacing w:val="0"/>
      <w:szCs w:val="28"/>
    </w:rPr>
  </w:style>
  <w:style w:type="paragraph" w:customStyle="1" w:styleId="71">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72">
    <w:name w:val="正文 New"/>
    <w:basedOn w:val="1"/>
    <w:qFormat/>
    <w:uiPriority w:val="0"/>
    <w:rPr>
      <w:szCs w:val="21"/>
    </w:rPr>
  </w:style>
  <w:style w:type="character" w:customStyle="1" w:styleId="73">
    <w:name w:val="font51"/>
    <w:basedOn w:val="28"/>
    <w:qFormat/>
    <w:uiPriority w:val="0"/>
    <w:rPr>
      <w:rFonts w:hint="eastAsia" w:ascii="方正仿宋_GBK" w:hAnsi="方正仿宋_GBK" w:eastAsia="方正仿宋_GBK" w:cs="方正仿宋_GBK"/>
      <w:color w:val="000000"/>
      <w:sz w:val="24"/>
      <w:szCs w:val="24"/>
      <w:u w:val="none"/>
    </w:rPr>
  </w:style>
  <w:style w:type="character" w:customStyle="1" w:styleId="74">
    <w:name w:val="font41"/>
    <w:basedOn w:val="28"/>
    <w:qFormat/>
    <w:uiPriority w:val="0"/>
    <w:rPr>
      <w:rFonts w:hint="eastAsia" w:ascii="方正仿宋_GBK" w:hAnsi="方正仿宋_GBK" w:eastAsia="方正仿宋_GBK" w:cs="方正仿宋_GBK"/>
      <w:b/>
      <w:color w:val="000000"/>
      <w:sz w:val="24"/>
      <w:szCs w:val="24"/>
      <w:u w:val="none"/>
    </w:rPr>
  </w:style>
  <w:style w:type="character" w:customStyle="1" w:styleId="75">
    <w:name w:val="未处理的提及1"/>
    <w:basedOn w:val="28"/>
    <w:semiHidden/>
    <w:unhideWhenUsed/>
    <w:qFormat/>
    <w:uiPriority w:val="99"/>
    <w:rPr>
      <w:color w:val="605E5C"/>
      <w:shd w:val="clear" w:color="auto" w:fill="E1DFDD"/>
    </w:rPr>
  </w:style>
  <w:style w:type="paragraph" w:customStyle="1" w:styleId="7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7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895CE-34F6-4745-B4F0-A1466DA77E6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1240</Words>
  <Characters>7069</Characters>
  <Lines>58</Lines>
  <Paragraphs>16</Paragraphs>
  <TotalTime>23</TotalTime>
  <ScaleCrop>false</ScaleCrop>
  <LinksUpToDate>false</LinksUpToDate>
  <CharactersWithSpaces>8293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2021-07-16T02:42:00Z</dcterms:created>
  <dc:creator>微软用户</dc:creator>
  <cp:lastModifiedBy>1313</cp:lastModifiedBy>
  <cp:lastPrinted>2020-12-14T10:05:00Z</cp:lastPrinted>
  <dcterms:modified xsi:type="dcterms:W3CDTF">2024-03-11T02:16:26Z</dcterms:modified>
  <dc:title>经开区南北干道、开成路北段道路景观设计</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4A740A3B84874D948F37B9D686A20076</vt:lpwstr>
  </property>
</Properties>
</file>